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66" w:rsidRPr="004E67EA" w:rsidRDefault="00741466" w:rsidP="00741466">
      <w:pPr>
        <w:pStyle w:val="PargrafodaLista"/>
        <w:numPr>
          <w:ilvl w:val="0"/>
          <w:numId w:val="3"/>
        </w:numPr>
        <w:jc w:val="center"/>
        <w:rPr>
          <w:rStyle w:val="null"/>
          <w:rFonts w:ascii="Times New Roman" w:hAnsi="Times New Roman" w:cs="Times New Roman"/>
          <w:b/>
          <w:sz w:val="24"/>
          <w:szCs w:val="24"/>
        </w:rPr>
      </w:pPr>
      <w:bookmarkStart w:id="0" w:name="_GoBack"/>
      <w:bookmarkEnd w:id="0"/>
      <w:r w:rsidRPr="004E67EA">
        <w:rPr>
          <w:rStyle w:val="null"/>
          <w:rFonts w:ascii="Times New Roman" w:hAnsi="Times New Roman" w:cs="Times New Roman"/>
          <w:b/>
          <w:sz w:val="24"/>
          <w:szCs w:val="24"/>
        </w:rPr>
        <w:t>Economia Pernambucana</w:t>
      </w:r>
    </w:p>
    <w:p w:rsidR="00741466" w:rsidRDefault="00741466" w:rsidP="001B6817">
      <w:pPr>
        <w:jc w:val="center"/>
        <w:rPr>
          <w:rStyle w:val="null"/>
        </w:rPr>
      </w:pPr>
    </w:p>
    <w:p w:rsidR="004E67EA" w:rsidRDefault="004E67EA" w:rsidP="001B6817">
      <w:pPr>
        <w:jc w:val="center"/>
        <w:rPr>
          <w:rStyle w:val="null"/>
        </w:rPr>
      </w:pPr>
    </w:p>
    <w:p w:rsidR="00741466" w:rsidRPr="00534EC7" w:rsidRDefault="00741466" w:rsidP="00741466">
      <w:pPr>
        <w:jc w:val="center"/>
        <w:rPr>
          <w:rFonts w:ascii="Times New Roman" w:hAnsi="Times New Roman" w:cs="Times New Roman"/>
          <w:b/>
          <w:i/>
          <w:color w:val="FF0000"/>
          <w:sz w:val="24"/>
          <w:szCs w:val="24"/>
        </w:rPr>
      </w:pPr>
      <w:r w:rsidRPr="00534EC7">
        <w:rPr>
          <w:rFonts w:ascii="Times New Roman" w:hAnsi="Times New Roman" w:cs="Times New Roman"/>
          <w:b/>
          <w:i/>
          <w:sz w:val="24"/>
          <w:szCs w:val="24"/>
        </w:rPr>
        <w:t>DESIGUALDADE DE RENDA: EVIDÊNCIAS PARA AS MICRORREGIÕES PERNAMBUCANAS A PARTIR DA DECOMPOSIÇÃO DO ÍNDICE DE THEIL-T</w:t>
      </w:r>
    </w:p>
    <w:p w:rsidR="00741466" w:rsidRDefault="00741466" w:rsidP="001B6817">
      <w:pPr>
        <w:jc w:val="center"/>
        <w:rPr>
          <w:rStyle w:val="null"/>
        </w:rPr>
      </w:pPr>
    </w:p>
    <w:p w:rsidR="00741466" w:rsidRDefault="00741466" w:rsidP="001B6817">
      <w:pPr>
        <w:jc w:val="center"/>
        <w:rPr>
          <w:rStyle w:val="null"/>
        </w:rPr>
      </w:pPr>
    </w:p>
    <w:p w:rsidR="00741466" w:rsidRPr="004E67EA" w:rsidRDefault="00741466" w:rsidP="004E67EA">
      <w:pPr>
        <w:spacing w:after="0" w:line="240" w:lineRule="auto"/>
        <w:rPr>
          <w:rStyle w:val="null"/>
          <w:rFonts w:ascii="Times New Roman" w:hAnsi="Times New Roman" w:cs="Times New Roman"/>
          <w:sz w:val="24"/>
          <w:szCs w:val="24"/>
        </w:rPr>
      </w:pPr>
      <w:r w:rsidRPr="004E67EA">
        <w:rPr>
          <w:rStyle w:val="null"/>
          <w:rFonts w:ascii="Times New Roman" w:hAnsi="Times New Roman" w:cs="Times New Roman"/>
          <w:sz w:val="24"/>
          <w:szCs w:val="24"/>
        </w:rPr>
        <w:t xml:space="preserve">Angelo Antonio Paula da Cunha </w:t>
      </w:r>
    </w:p>
    <w:p w:rsidR="00741466" w:rsidRPr="004E67EA" w:rsidRDefault="00741466" w:rsidP="004E67EA">
      <w:pPr>
        <w:spacing w:after="0" w:line="240" w:lineRule="auto"/>
        <w:rPr>
          <w:rStyle w:val="null"/>
          <w:rFonts w:ascii="Times New Roman" w:hAnsi="Times New Roman" w:cs="Times New Roman"/>
          <w:sz w:val="24"/>
          <w:szCs w:val="24"/>
        </w:rPr>
      </w:pPr>
      <w:r w:rsidRPr="004E67EA">
        <w:rPr>
          <w:rStyle w:val="null"/>
          <w:rFonts w:ascii="Times New Roman" w:hAnsi="Times New Roman" w:cs="Times New Roman"/>
          <w:sz w:val="24"/>
          <w:szCs w:val="24"/>
        </w:rPr>
        <w:t>Economista pela UFPE</w:t>
      </w:r>
      <w:r w:rsidR="00320C26">
        <w:rPr>
          <w:rStyle w:val="null"/>
          <w:rFonts w:ascii="Times New Roman" w:hAnsi="Times New Roman" w:cs="Times New Roman"/>
          <w:sz w:val="24"/>
          <w:szCs w:val="24"/>
        </w:rPr>
        <w:t>/CAA</w:t>
      </w:r>
      <w:r w:rsidRPr="004E67EA">
        <w:rPr>
          <w:rStyle w:val="null"/>
          <w:rFonts w:ascii="Times New Roman" w:hAnsi="Times New Roman" w:cs="Times New Roman"/>
          <w:sz w:val="24"/>
          <w:szCs w:val="24"/>
        </w:rPr>
        <w:t xml:space="preserve"> </w:t>
      </w:r>
    </w:p>
    <w:p w:rsidR="00320C26" w:rsidRDefault="00320C26" w:rsidP="004E67EA">
      <w:pPr>
        <w:spacing w:after="0" w:line="240" w:lineRule="auto"/>
        <w:rPr>
          <w:rStyle w:val="null"/>
          <w:rFonts w:ascii="Times New Roman" w:hAnsi="Times New Roman" w:cs="Times New Roman"/>
          <w:sz w:val="24"/>
          <w:szCs w:val="24"/>
        </w:rPr>
      </w:pPr>
      <w:r>
        <w:rPr>
          <w:rStyle w:val="null"/>
          <w:rFonts w:ascii="Times New Roman" w:hAnsi="Times New Roman" w:cs="Times New Roman"/>
          <w:sz w:val="24"/>
          <w:szCs w:val="24"/>
        </w:rPr>
        <w:t xml:space="preserve">Email: </w:t>
      </w:r>
      <w:hyperlink r:id="rId9" w:history="1">
        <w:r w:rsidRPr="00320C26">
          <w:rPr>
            <w:rStyle w:val="Hyperlink"/>
            <w:rFonts w:ascii="Times New Roman" w:hAnsi="Times New Roman" w:cs="Times New Roman"/>
            <w:sz w:val="24"/>
            <w:szCs w:val="24"/>
          </w:rPr>
          <w:t>angeloantonio198@gmail.com</w:t>
        </w:r>
      </w:hyperlink>
    </w:p>
    <w:p w:rsidR="00741466" w:rsidRDefault="00741466" w:rsidP="004E67EA">
      <w:pPr>
        <w:spacing w:after="0" w:line="240" w:lineRule="auto"/>
        <w:rPr>
          <w:rStyle w:val="null"/>
          <w:rFonts w:ascii="Times New Roman" w:hAnsi="Times New Roman" w:cs="Times New Roman"/>
          <w:sz w:val="24"/>
          <w:szCs w:val="24"/>
        </w:rPr>
      </w:pPr>
      <w:r w:rsidRPr="004E67EA">
        <w:rPr>
          <w:rStyle w:val="null"/>
          <w:rFonts w:ascii="Times New Roman" w:hAnsi="Times New Roman" w:cs="Times New Roman"/>
          <w:sz w:val="24"/>
          <w:szCs w:val="24"/>
        </w:rPr>
        <w:t>Pesquisador voluntário do Núcleo de Estudos sobre Agroecologia</w:t>
      </w:r>
      <w:r w:rsidR="00320C26">
        <w:rPr>
          <w:rStyle w:val="null"/>
          <w:rFonts w:ascii="Times New Roman" w:hAnsi="Times New Roman" w:cs="Times New Roman"/>
          <w:sz w:val="24"/>
          <w:szCs w:val="24"/>
        </w:rPr>
        <w:t xml:space="preserve"> e Produção Orgânica </w:t>
      </w:r>
    </w:p>
    <w:p w:rsidR="00320C26" w:rsidRDefault="00320C26" w:rsidP="004E67EA">
      <w:pPr>
        <w:spacing w:after="0" w:line="240" w:lineRule="auto"/>
        <w:rPr>
          <w:rStyle w:val="null"/>
          <w:rFonts w:ascii="Times New Roman" w:hAnsi="Times New Roman" w:cs="Times New Roman"/>
          <w:sz w:val="24"/>
          <w:szCs w:val="24"/>
        </w:rPr>
      </w:pPr>
      <w:r w:rsidRPr="00320C26">
        <w:rPr>
          <w:rFonts w:ascii="Times New Roman" w:hAnsi="Times New Roman" w:cs="Times New Roman"/>
          <w:color w:val="000000"/>
          <w:sz w:val="24"/>
        </w:rPr>
        <w:t>Endereço Profissional: Universidade Federal de</w:t>
      </w:r>
      <w:r w:rsidR="00B75B01">
        <w:rPr>
          <w:rFonts w:ascii="Times New Roman" w:hAnsi="Times New Roman" w:cs="Times New Roman"/>
          <w:color w:val="000000"/>
          <w:sz w:val="24"/>
        </w:rPr>
        <w:t xml:space="preserve"> </w:t>
      </w:r>
      <w:r w:rsidRPr="00320C26">
        <w:rPr>
          <w:rFonts w:ascii="Times New Roman" w:hAnsi="Times New Roman" w:cs="Times New Roman"/>
          <w:color w:val="000000"/>
          <w:sz w:val="24"/>
        </w:rPr>
        <w:t>Pernambuco – Centro Acadêmico do Agreste. Rodovia BR 104, Nova Caruaru – CEP: 55014-</w:t>
      </w:r>
      <w:r w:rsidRPr="00320C26">
        <w:rPr>
          <w:color w:val="000000"/>
        </w:rPr>
        <w:br/>
      </w:r>
      <w:r w:rsidRPr="00320C26">
        <w:rPr>
          <w:rFonts w:ascii="Times New Roman" w:hAnsi="Times New Roman" w:cs="Times New Roman"/>
          <w:color w:val="000000"/>
          <w:sz w:val="24"/>
        </w:rPr>
        <w:t>215 - Caruaru-PE</w:t>
      </w:r>
    </w:p>
    <w:p w:rsidR="00320C26" w:rsidRPr="004E67EA" w:rsidRDefault="00320C26" w:rsidP="004E67EA">
      <w:pPr>
        <w:spacing w:after="0" w:line="240" w:lineRule="auto"/>
        <w:rPr>
          <w:rStyle w:val="null"/>
          <w:rFonts w:ascii="Times New Roman" w:hAnsi="Times New Roman" w:cs="Times New Roman"/>
          <w:sz w:val="24"/>
          <w:szCs w:val="24"/>
        </w:rPr>
      </w:pPr>
      <w:r>
        <w:rPr>
          <w:rStyle w:val="null"/>
          <w:rFonts w:ascii="Times New Roman" w:hAnsi="Times New Roman" w:cs="Times New Roman"/>
          <w:sz w:val="24"/>
          <w:szCs w:val="24"/>
        </w:rPr>
        <w:t>Telefone: (81)</w:t>
      </w:r>
      <w:r w:rsidRPr="00320C26">
        <w:rPr>
          <w:rStyle w:val="null"/>
          <w:rFonts w:ascii="Times New Roman" w:hAnsi="Times New Roman" w:cs="Times New Roman"/>
          <w:sz w:val="24"/>
          <w:szCs w:val="24"/>
        </w:rPr>
        <w:t>997892356</w:t>
      </w:r>
    </w:p>
    <w:p w:rsidR="00741466" w:rsidRDefault="00741466" w:rsidP="004E67EA">
      <w:pPr>
        <w:spacing w:after="0" w:line="240" w:lineRule="auto"/>
        <w:rPr>
          <w:rStyle w:val="null"/>
          <w:rFonts w:ascii="Times New Roman" w:hAnsi="Times New Roman" w:cs="Times New Roman"/>
          <w:sz w:val="24"/>
          <w:szCs w:val="24"/>
        </w:rPr>
      </w:pPr>
    </w:p>
    <w:p w:rsidR="00320C26" w:rsidRDefault="00320C26" w:rsidP="004E67EA">
      <w:pPr>
        <w:spacing w:after="0" w:line="240" w:lineRule="auto"/>
        <w:rPr>
          <w:rStyle w:val="null"/>
          <w:rFonts w:ascii="Times New Roman" w:hAnsi="Times New Roman" w:cs="Times New Roman"/>
          <w:sz w:val="24"/>
          <w:szCs w:val="24"/>
        </w:rPr>
      </w:pPr>
    </w:p>
    <w:p w:rsidR="00320C26" w:rsidRDefault="00320C26" w:rsidP="004E67EA">
      <w:pPr>
        <w:spacing w:after="0" w:line="240" w:lineRule="auto"/>
        <w:rPr>
          <w:rFonts w:ascii="Times New Roman" w:hAnsi="Times New Roman" w:cs="Times New Roman"/>
          <w:color w:val="0000FF"/>
          <w:sz w:val="24"/>
        </w:rPr>
      </w:pPr>
      <w:r w:rsidRPr="00320C26">
        <w:rPr>
          <w:rFonts w:ascii="Times New Roman" w:hAnsi="Times New Roman" w:cs="Times New Roman"/>
          <w:color w:val="000000"/>
          <w:sz w:val="24"/>
        </w:rPr>
        <w:t>Kelly Samá Lopes de Vasconcelos</w:t>
      </w:r>
      <w:r w:rsidRPr="00320C26">
        <w:rPr>
          <w:color w:val="000000"/>
        </w:rPr>
        <w:br/>
      </w:r>
      <w:r>
        <w:rPr>
          <w:rFonts w:ascii="Times New Roman" w:hAnsi="Times New Roman" w:cs="Times New Roman"/>
          <w:color w:val="000000"/>
          <w:sz w:val="24"/>
        </w:rPr>
        <w:t>Mestre pelo</w:t>
      </w:r>
      <w:r w:rsidRPr="00320C26">
        <w:rPr>
          <w:rFonts w:ascii="Times New Roman" w:hAnsi="Times New Roman" w:cs="Times New Roman"/>
          <w:color w:val="000000"/>
          <w:sz w:val="24"/>
        </w:rPr>
        <w:t xml:space="preserve"> Programa de Pós Graduação em Economia PPGECON - UFPE/CAA</w:t>
      </w:r>
      <w:r w:rsidRPr="00320C26">
        <w:rPr>
          <w:color w:val="000000"/>
        </w:rPr>
        <w:br/>
      </w:r>
      <w:r w:rsidRPr="00320C26">
        <w:rPr>
          <w:rFonts w:ascii="Times New Roman" w:hAnsi="Times New Roman" w:cs="Times New Roman"/>
          <w:color w:val="000000"/>
          <w:sz w:val="24"/>
        </w:rPr>
        <w:t xml:space="preserve">E-mail: </w:t>
      </w:r>
      <w:hyperlink r:id="rId10" w:history="1">
        <w:r w:rsidRPr="001342A4">
          <w:rPr>
            <w:rStyle w:val="Hyperlink"/>
            <w:rFonts w:ascii="Times New Roman" w:hAnsi="Times New Roman" w:cs="Times New Roman"/>
            <w:sz w:val="24"/>
          </w:rPr>
          <w:t>kellydevasconcelos@ig.com.br</w:t>
        </w:r>
      </w:hyperlink>
      <w:r>
        <w:rPr>
          <w:rFonts w:ascii="Times New Roman" w:hAnsi="Times New Roman" w:cs="Times New Roman"/>
          <w:color w:val="0000FF"/>
          <w:sz w:val="24"/>
        </w:rPr>
        <w:t xml:space="preserve"> </w:t>
      </w:r>
    </w:p>
    <w:p w:rsidR="00320C26" w:rsidRDefault="00320C26" w:rsidP="004E67EA">
      <w:pPr>
        <w:spacing w:after="0" w:line="240" w:lineRule="auto"/>
        <w:rPr>
          <w:rFonts w:ascii="Times New Roman" w:hAnsi="Times New Roman" w:cs="Times New Roman"/>
          <w:color w:val="0000FF"/>
          <w:sz w:val="24"/>
        </w:rPr>
      </w:pPr>
    </w:p>
    <w:p w:rsidR="00320C26" w:rsidRDefault="00320C26" w:rsidP="004E67EA">
      <w:pPr>
        <w:spacing w:after="0" w:line="240" w:lineRule="auto"/>
        <w:rPr>
          <w:rFonts w:ascii="Times New Roman" w:hAnsi="Times New Roman" w:cs="Times New Roman"/>
          <w:color w:val="0000FF"/>
          <w:sz w:val="24"/>
        </w:rPr>
      </w:pPr>
    </w:p>
    <w:p w:rsidR="00320C26" w:rsidRPr="004E67EA" w:rsidRDefault="00320C26" w:rsidP="004E67EA">
      <w:pPr>
        <w:spacing w:after="0" w:line="240" w:lineRule="auto"/>
        <w:rPr>
          <w:rStyle w:val="null"/>
          <w:rFonts w:ascii="Times New Roman" w:hAnsi="Times New Roman" w:cs="Times New Roman"/>
          <w:sz w:val="24"/>
          <w:szCs w:val="24"/>
        </w:rPr>
      </w:pPr>
      <w:r w:rsidRPr="00320C26">
        <w:rPr>
          <w:rFonts w:ascii="Times New Roman" w:hAnsi="Times New Roman" w:cs="Times New Roman"/>
          <w:color w:val="000000"/>
          <w:sz w:val="24"/>
        </w:rPr>
        <w:t>Roberta de Moraes Rocha</w:t>
      </w:r>
      <w:r w:rsidRPr="00320C26">
        <w:rPr>
          <w:color w:val="000000"/>
        </w:rPr>
        <w:br/>
      </w:r>
      <w:r w:rsidRPr="00320C26">
        <w:rPr>
          <w:rFonts w:ascii="Times New Roman" w:hAnsi="Times New Roman" w:cs="Times New Roman"/>
          <w:color w:val="000000"/>
          <w:sz w:val="24"/>
        </w:rPr>
        <w:t>Professora do Programa de Pós Graduação em Economia PPGECON - UFPE/CAA</w:t>
      </w:r>
      <w:r w:rsidRPr="00320C26">
        <w:rPr>
          <w:color w:val="000000"/>
        </w:rPr>
        <w:br/>
      </w:r>
      <w:r w:rsidRPr="00320C26">
        <w:rPr>
          <w:rFonts w:ascii="Times New Roman" w:hAnsi="Times New Roman" w:cs="Times New Roman"/>
          <w:color w:val="000000"/>
          <w:sz w:val="24"/>
        </w:rPr>
        <w:t xml:space="preserve">E-mail: </w:t>
      </w:r>
      <w:hyperlink r:id="rId11" w:history="1">
        <w:r w:rsidRPr="001342A4">
          <w:rPr>
            <w:rStyle w:val="Hyperlink"/>
            <w:rFonts w:ascii="Times New Roman" w:hAnsi="Times New Roman" w:cs="Times New Roman"/>
            <w:sz w:val="24"/>
          </w:rPr>
          <w:t>roberta_rocha_pe@yahoo.com.br</w:t>
        </w:r>
      </w:hyperlink>
      <w:r>
        <w:rPr>
          <w:rFonts w:ascii="Times New Roman" w:hAnsi="Times New Roman" w:cs="Times New Roman"/>
          <w:color w:val="0000FF"/>
          <w:sz w:val="24"/>
        </w:rPr>
        <w:t xml:space="preserve"> </w:t>
      </w:r>
    </w:p>
    <w:p w:rsidR="00741466" w:rsidRPr="004E67EA" w:rsidRDefault="00741466" w:rsidP="004E67EA">
      <w:pPr>
        <w:spacing w:after="0" w:line="240" w:lineRule="auto"/>
        <w:rPr>
          <w:rFonts w:ascii="Times New Roman" w:hAnsi="Times New Roman" w:cs="Times New Roman"/>
          <w:b/>
          <w:sz w:val="24"/>
          <w:szCs w:val="24"/>
        </w:rPr>
      </w:pPr>
    </w:p>
    <w:p w:rsidR="00741466" w:rsidRDefault="00741466" w:rsidP="004E67EA">
      <w:pPr>
        <w:spacing w:after="0"/>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741466" w:rsidRDefault="00741466" w:rsidP="001B6817">
      <w:pPr>
        <w:jc w:val="center"/>
        <w:rPr>
          <w:rFonts w:ascii="Times New Roman" w:hAnsi="Times New Roman" w:cs="Times New Roman"/>
          <w:b/>
          <w:sz w:val="24"/>
          <w:szCs w:val="24"/>
        </w:rPr>
      </w:pPr>
    </w:p>
    <w:p w:rsidR="001B6817" w:rsidRPr="00680053" w:rsidRDefault="001B6817" w:rsidP="001B6817">
      <w:pPr>
        <w:jc w:val="center"/>
        <w:rPr>
          <w:rFonts w:ascii="Times New Roman" w:hAnsi="Times New Roman" w:cs="Times New Roman"/>
          <w:b/>
          <w:i/>
          <w:color w:val="FF0000"/>
          <w:sz w:val="24"/>
          <w:szCs w:val="24"/>
        </w:rPr>
      </w:pPr>
      <w:r w:rsidRPr="00680053">
        <w:rPr>
          <w:rFonts w:ascii="Times New Roman" w:hAnsi="Times New Roman" w:cs="Times New Roman"/>
          <w:b/>
          <w:i/>
          <w:sz w:val="24"/>
          <w:szCs w:val="24"/>
        </w:rPr>
        <w:lastRenderedPageBreak/>
        <w:t>DESIGUALDADE DE RENDA: EVIDÊNCIAS PARA AS MICRORREGIÕES PERNAMBUCANAS A PARTIR DA DECOMP</w:t>
      </w:r>
      <w:r w:rsidR="006B21BA" w:rsidRPr="00680053">
        <w:rPr>
          <w:rFonts w:ascii="Times New Roman" w:hAnsi="Times New Roman" w:cs="Times New Roman"/>
          <w:b/>
          <w:i/>
          <w:sz w:val="24"/>
          <w:szCs w:val="24"/>
        </w:rPr>
        <w:t>OSIÇÃO DO Í</w:t>
      </w:r>
      <w:r w:rsidR="005C59F0" w:rsidRPr="00680053">
        <w:rPr>
          <w:rFonts w:ascii="Times New Roman" w:hAnsi="Times New Roman" w:cs="Times New Roman"/>
          <w:b/>
          <w:i/>
          <w:sz w:val="24"/>
          <w:szCs w:val="24"/>
        </w:rPr>
        <w:t>NDICE DE THEIL-T</w:t>
      </w:r>
    </w:p>
    <w:p w:rsidR="00A43129" w:rsidRDefault="00A43129" w:rsidP="00A43129">
      <w:pPr>
        <w:rPr>
          <w:rFonts w:ascii="Times New Roman" w:hAnsi="Times New Roman" w:cs="Times New Roman"/>
          <w:color w:val="FF0000"/>
          <w:sz w:val="24"/>
          <w:szCs w:val="24"/>
        </w:rPr>
      </w:pPr>
    </w:p>
    <w:p w:rsidR="00F03492" w:rsidRPr="00C30DD7" w:rsidRDefault="00F03492" w:rsidP="00A43129">
      <w:pPr>
        <w:rPr>
          <w:rFonts w:ascii="Times New Roman" w:hAnsi="Times New Roman" w:cs="Times New Roman"/>
          <w:color w:val="FF0000"/>
          <w:sz w:val="24"/>
          <w:szCs w:val="24"/>
        </w:rPr>
      </w:pPr>
    </w:p>
    <w:p w:rsidR="00F03492" w:rsidRPr="00D33C08" w:rsidRDefault="00D33C08" w:rsidP="00445807">
      <w:pPr>
        <w:jc w:val="center"/>
        <w:rPr>
          <w:rFonts w:ascii="Times New Roman" w:hAnsi="Times New Roman" w:cs="Times New Roman"/>
          <w:i/>
          <w:sz w:val="24"/>
          <w:szCs w:val="24"/>
        </w:rPr>
      </w:pPr>
      <w:r w:rsidRPr="00D33C08">
        <w:rPr>
          <w:rFonts w:ascii="Times New Roman" w:hAnsi="Times New Roman" w:cs="Times New Roman"/>
          <w:i/>
          <w:sz w:val="24"/>
          <w:szCs w:val="24"/>
        </w:rPr>
        <w:t>INCOME INEQUALITY: EVIDENCE FOR MICROREGIONS PERNAMBUCANAS THEI DECOMPOSITION METHOD</w:t>
      </w:r>
    </w:p>
    <w:p w:rsidR="00F03492" w:rsidRDefault="00F03492" w:rsidP="00A43129">
      <w:pPr>
        <w:rPr>
          <w:rFonts w:ascii="Times New Roman" w:hAnsi="Times New Roman" w:cs="Times New Roman"/>
          <w:b/>
          <w:sz w:val="24"/>
          <w:szCs w:val="24"/>
        </w:rPr>
      </w:pPr>
    </w:p>
    <w:p w:rsidR="00F03492" w:rsidRDefault="00F03492" w:rsidP="00A43129">
      <w:pPr>
        <w:rPr>
          <w:rFonts w:ascii="Times New Roman" w:hAnsi="Times New Roman" w:cs="Times New Roman"/>
          <w:b/>
          <w:sz w:val="24"/>
          <w:szCs w:val="24"/>
        </w:rPr>
      </w:pPr>
    </w:p>
    <w:p w:rsidR="001B6817" w:rsidRPr="00590B33" w:rsidRDefault="00A43129" w:rsidP="00590B33">
      <w:pPr>
        <w:jc w:val="both"/>
        <w:rPr>
          <w:rFonts w:ascii="Times New Roman" w:hAnsi="Times New Roman" w:cs="Times New Roman"/>
          <w:sz w:val="24"/>
          <w:szCs w:val="24"/>
        </w:rPr>
      </w:pPr>
      <w:r w:rsidRPr="00A43129">
        <w:rPr>
          <w:rFonts w:ascii="Times New Roman" w:hAnsi="Times New Roman" w:cs="Times New Roman"/>
          <w:b/>
          <w:sz w:val="24"/>
          <w:szCs w:val="24"/>
        </w:rPr>
        <w:t>R</w:t>
      </w:r>
      <w:r w:rsidR="00F568D6">
        <w:rPr>
          <w:rFonts w:ascii="Times New Roman" w:hAnsi="Times New Roman" w:cs="Times New Roman"/>
          <w:b/>
          <w:sz w:val="24"/>
          <w:szCs w:val="24"/>
        </w:rPr>
        <w:t>esumo</w:t>
      </w:r>
      <w:r w:rsidRPr="00A43129">
        <w:rPr>
          <w:rFonts w:ascii="Times New Roman" w:hAnsi="Times New Roman" w:cs="Times New Roman"/>
          <w:b/>
          <w:sz w:val="24"/>
          <w:szCs w:val="24"/>
        </w:rPr>
        <w:t>:</w:t>
      </w:r>
      <w:r w:rsidR="004D4685">
        <w:rPr>
          <w:rFonts w:ascii="Times New Roman" w:hAnsi="Times New Roman" w:cs="Times New Roman"/>
          <w:b/>
          <w:sz w:val="24"/>
          <w:szCs w:val="24"/>
        </w:rPr>
        <w:t xml:space="preserve"> </w:t>
      </w:r>
      <w:r w:rsidR="00491A3D">
        <w:rPr>
          <w:rFonts w:ascii="Times New Roman" w:hAnsi="Times New Roman" w:cs="Times New Roman"/>
          <w:sz w:val="24"/>
          <w:szCs w:val="24"/>
        </w:rPr>
        <w:t>Este estudo se propõe</w:t>
      </w:r>
      <w:r w:rsidR="004D4685">
        <w:rPr>
          <w:rFonts w:ascii="Times New Roman" w:hAnsi="Times New Roman" w:cs="Times New Roman"/>
          <w:sz w:val="24"/>
          <w:szCs w:val="24"/>
        </w:rPr>
        <w:t xml:space="preserve"> a decompor o índice de Theil-T</w:t>
      </w:r>
      <w:r w:rsidR="00491A3D">
        <w:rPr>
          <w:rFonts w:ascii="Times New Roman" w:hAnsi="Times New Roman" w:cs="Times New Roman"/>
          <w:sz w:val="24"/>
          <w:szCs w:val="24"/>
        </w:rPr>
        <w:t xml:space="preserve"> para as mesorregiões pernambucanas </w:t>
      </w:r>
      <w:r w:rsidR="00590B33">
        <w:rPr>
          <w:rFonts w:ascii="Times New Roman" w:hAnsi="Times New Roman" w:cs="Times New Roman"/>
          <w:sz w:val="24"/>
          <w:szCs w:val="24"/>
        </w:rPr>
        <w:t>analisando o comportamento das desigualdades pelo produto interno bruto e pela renda média pa</w:t>
      </w:r>
      <w:r w:rsidR="00E338E0">
        <w:rPr>
          <w:rFonts w:ascii="Times New Roman" w:hAnsi="Times New Roman" w:cs="Times New Roman"/>
          <w:sz w:val="24"/>
          <w:szCs w:val="24"/>
        </w:rPr>
        <w:t>ra o período de 2002/2012. A ide</w:t>
      </w:r>
      <w:r w:rsidR="00590B33">
        <w:rPr>
          <w:rFonts w:ascii="Times New Roman" w:hAnsi="Times New Roman" w:cs="Times New Roman"/>
          <w:sz w:val="24"/>
          <w:szCs w:val="24"/>
        </w:rPr>
        <w:t>ia central é a de examinar se a desigualdade existente no estado e dada por problemas econômicos ou pela má distribuição de renda existente em Pernambuco. Os principais resultados obtidos indicam que pelo produto interno bruto a microrregião mais desigual é de Santo Antão, e a menos desigual é a do Capibaribe; pela análise da renda média a microrregião mais desigual é a de Suape, e a de Brejo PE se mostrou a menos desigual.</w:t>
      </w:r>
      <w:r w:rsidR="001701AD">
        <w:rPr>
          <w:rFonts w:ascii="Times New Roman" w:hAnsi="Times New Roman" w:cs="Times New Roman"/>
          <w:sz w:val="24"/>
          <w:szCs w:val="24"/>
        </w:rPr>
        <w:t xml:space="preserve"> No geral constatou-se que a desigualdade medida pela renda média é a que melhor explica a desigualdade existente em Pernambuco, mesmo que tenha apresentado, de um modo geral, uma redução ao longo do período analisado. </w:t>
      </w:r>
    </w:p>
    <w:p w:rsidR="00177428" w:rsidRDefault="00177428" w:rsidP="00A43129">
      <w:pPr>
        <w:rPr>
          <w:rFonts w:ascii="Times New Roman" w:hAnsi="Times New Roman" w:cs="Times New Roman"/>
          <w:sz w:val="24"/>
          <w:szCs w:val="24"/>
        </w:rPr>
      </w:pPr>
      <w:r>
        <w:rPr>
          <w:rFonts w:ascii="Times New Roman" w:hAnsi="Times New Roman" w:cs="Times New Roman"/>
          <w:b/>
          <w:sz w:val="24"/>
          <w:szCs w:val="24"/>
        </w:rPr>
        <w:t xml:space="preserve">Palavras </w:t>
      </w:r>
      <w:r w:rsidR="008E66AB">
        <w:rPr>
          <w:rFonts w:ascii="Times New Roman" w:hAnsi="Times New Roman" w:cs="Times New Roman"/>
          <w:b/>
          <w:sz w:val="24"/>
          <w:szCs w:val="24"/>
        </w:rPr>
        <w:t>–</w:t>
      </w:r>
      <w:r>
        <w:rPr>
          <w:rFonts w:ascii="Times New Roman" w:hAnsi="Times New Roman" w:cs="Times New Roman"/>
          <w:b/>
          <w:sz w:val="24"/>
          <w:szCs w:val="24"/>
        </w:rPr>
        <w:t xml:space="preserve"> Chave</w:t>
      </w:r>
      <w:r w:rsidR="008E66AB">
        <w:rPr>
          <w:rFonts w:ascii="Times New Roman" w:hAnsi="Times New Roman" w:cs="Times New Roman"/>
          <w:b/>
          <w:sz w:val="24"/>
          <w:szCs w:val="24"/>
        </w:rPr>
        <w:t xml:space="preserve">: </w:t>
      </w:r>
      <w:r w:rsidR="008E66AB">
        <w:rPr>
          <w:rFonts w:ascii="Times New Roman" w:hAnsi="Times New Roman" w:cs="Times New Roman"/>
          <w:sz w:val="24"/>
          <w:szCs w:val="24"/>
        </w:rPr>
        <w:t>Theil-T, Desigualdade, PIB</w:t>
      </w:r>
      <w:r w:rsidR="00C10190">
        <w:rPr>
          <w:rFonts w:ascii="Times New Roman" w:hAnsi="Times New Roman" w:cs="Times New Roman"/>
          <w:sz w:val="24"/>
          <w:szCs w:val="24"/>
        </w:rPr>
        <w:t>, Crescimento Econômico</w:t>
      </w:r>
      <w:r w:rsidR="00590B33">
        <w:rPr>
          <w:rFonts w:ascii="Times New Roman" w:hAnsi="Times New Roman" w:cs="Times New Roman"/>
          <w:sz w:val="24"/>
          <w:szCs w:val="24"/>
        </w:rPr>
        <w:t xml:space="preserve"> </w:t>
      </w:r>
      <w:r w:rsidR="00C10190">
        <w:rPr>
          <w:rFonts w:ascii="Times New Roman" w:hAnsi="Times New Roman" w:cs="Times New Roman"/>
          <w:sz w:val="24"/>
          <w:szCs w:val="24"/>
        </w:rPr>
        <w:t>,</w:t>
      </w:r>
      <w:r w:rsidR="00D07121">
        <w:rPr>
          <w:rFonts w:ascii="Times New Roman" w:hAnsi="Times New Roman" w:cs="Times New Roman"/>
          <w:sz w:val="24"/>
          <w:szCs w:val="24"/>
        </w:rPr>
        <w:t xml:space="preserve"> </w:t>
      </w:r>
      <w:r w:rsidR="006B13D0">
        <w:rPr>
          <w:rFonts w:ascii="Times New Roman" w:hAnsi="Times New Roman" w:cs="Times New Roman"/>
          <w:sz w:val="24"/>
          <w:szCs w:val="24"/>
        </w:rPr>
        <w:t>Mesorregiões Pernambucanas,</w:t>
      </w:r>
      <w:r w:rsidR="00C10190">
        <w:rPr>
          <w:rFonts w:ascii="Times New Roman" w:hAnsi="Times New Roman" w:cs="Times New Roman"/>
          <w:sz w:val="24"/>
          <w:szCs w:val="24"/>
        </w:rPr>
        <w:t xml:space="preserve"> Pernambuco</w:t>
      </w:r>
    </w:p>
    <w:p w:rsidR="00F03492" w:rsidRDefault="00F03492" w:rsidP="00A43129">
      <w:pPr>
        <w:rPr>
          <w:rFonts w:ascii="Times New Roman" w:hAnsi="Times New Roman" w:cs="Times New Roman"/>
          <w:sz w:val="24"/>
          <w:szCs w:val="24"/>
        </w:rPr>
      </w:pPr>
    </w:p>
    <w:p w:rsidR="00F03492" w:rsidRDefault="00F03492" w:rsidP="00A43129">
      <w:pPr>
        <w:rPr>
          <w:rFonts w:ascii="Times New Roman" w:hAnsi="Times New Roman" w:cs="Times New Roman"/>
          <w:sz w:val="24"/>
          <w:szCs w:val="24"/>
        </w:rPr>
      </w:pPr>
    </w:p>
    <w:p w:rsidR="00F03492" w:rsidRPr="00D07121" w:rsidRDefault="00F03492" w:rsidP="00D07121">
      <w:pPr>
        <w:jc w:val="both"/>
        <w:rPr>
          <w:rFonts w:ascii="Times New Roman" w:hAnsi="Times New Roman" w:cs="Times New Roman"/>
          <w:b/>
          <w:sz w:val="24"/>
          <w:szCs w:val="24"/>
        </w:rPr>
      </w:pPr>
      <w:r w:rsidRPr="009C1433">
        <w:rPr>
          <w:rFonts w:ascii="Times New Roman" w:hAnsi="Times New Roman" w:cs="Times New Roman"/>
          <w:b/>
          <w:sz w:val="24"/>
          <w:szCs w:val="24"/>
          <w:lang w:val="en-US"/>
        </w:rPr>
        <w:t>Abstract:</w:t>
      </w:r>
      <w:r w:rsidR="00D07121" w:rsidRPr="009C1433">
        <w:rPr>
          <w:rFonts w:ascii="Times New Roman" w:hAnsi="Times New Roman" w:cs="Times New Roman"/>
          <w:b/>
          <w:sz w:val="24"/>
          <w:szCs w:val="24"/>
          <w:lang w:val="en-US"/>
        </w:rPr>
        <w:t xml:space="preserve"> </w:t>
      </w:r>
      <w:r w:rsidR="00D07121" w:rsidRPr="009C1433">
        <w:rPr>
          <w:rFonts w:ascii="Times New Roman" w:hAnsi="Times New Roman" w:cs="Times New Roman"/>
          <w:sz w:val="24"/>
          <w:szCs w:val="24"/>
          <w:lang w:val="en-US"/>
        </w:rPr>
        <w:t xml:space="preserve">This study </w:t>
      </w:r>
      <w:r w:rsidR="00D07121" w:rsidRPr="009C1433">
        <w:rPr>
          <w:rFonts w:ascii="Times New Roman" w:hAnsi="Times New Roman" w:cs="Times New Roman"/>
          <w:color w:val="000000"/>
          <w:sz w:val="24"/>
          <w:lang w:val="en-US"/>
        </w:rPr>
        <w:t>aimed to analyze the</w:t>
      </w:r>
      <w:r w:rsidR="00D07121" w:rsidRPr="009C1433">
        <w:rPr>
          <w:lang w:val="en-US"/>
        </w:rPr>
        <w:t xml:space="preserve"> </w:t>
      </w:r>
      <w:r w:rsidR="00D07121" w:rsidRPr="009C1433">
        <w:rPr>
          <w:rFonts w:ascii="Times New Roman" w:hAnsi="Times New Roman" w:cs="Times New Roman"/>
          <w:sz w:val="24"/>
          <w:szCs w:val="24"/>
          <w:lang w:val="en-US"/>
        </w:rPr>
        <w:t xml:space="preserve">decompose the Theil-T index for the Pernambuco mesoregions analyzing the behavior of inequality by the gross domestic product and the average income for the period 2002-2012. </w:t>
      </w:r>
      <w:r w:rsidR="00D07121" w:rsidRPr="00D07121">
        <w:rPr>
          <w:rFonts w:ascii="Times New Roman" w:hAnsi="Times New Roman" w:cs="Times New Roman"/>
          <w:sz w:val="24"/>
          <w:szCs w:val="24"/>
        </w:rPr>
        <w:t>The central idea is to examine whether the existing inequality in the state and given</w:t>
      </w:r>
      <w:r w:rsidR="00D07121">
        <w:rPr>
          <w:rFonts w:ascii="Times New Roman" w:hAnsi="Times New Roman" w:cs="Times New Roman"/>
          <w:sz w:val="24"/>
          <w:szCs w:val="24"/>
        </w:rPr>
        <w:t xml:space="preserve"> by economic problems or the </w:t>
      </w:r>
      <w:r w:rsidR="00D07121" w:rsidRPr="00D07121">
        <w:rPr>
          <w:rFonts w:ascii="Times New Roman" w:hAnsi="Times New Roman" w:cs="Times New Roman"/>
          <w:sz w:val="24"/>
          <w:szCs w:val="24"/>
        </w:rPr>
        <w:t xml:space="preserve">distribution of existing income in Pernambuco. The main results indicate that the gross domestic product the </w:t>
      </w:r>
      <w:r w:rsidR="00D07121">
        <w:rPr>
          <w:rFonts w:ascii="Times New Roman" w:hAnsi="Times New Roman" w:cs="Times New Roman"/>
          <w:sz w:val="24"/>
          <w:szCs w:val="24"/>
        </w:rPr>
        <w:t>most unequal micro is Santo Antã</w:t>
      </w:r>
      <w:r w:rsidR="00D07121" w:rsidRPr="00D07121">
        <w:rPr>
          <w:rFonts w:ascii="Times New Roman" w:hAnsi="Times New Roman" w:cs="Times New Roman"/>
          <w:sz w:val="24"/>
          <w:szCs w:val="24"/>
        </w:rPr>
        <w:t>o, and less unequal is the Capibaribe; the analysis of the average income more unequal mic</w:t>
      </w:r>
      <w:r w:rsidR="00D07121">
        <w:rPr>
          <w:rFonts w:ascii="Times New Roman" w:hAnsi="Times New Roman" w:cs="Times New Roman"/>
          <w:sz w:val="24"/>
          <w:szCs w:val="24"/>
        </w:rPr>
        <w:t>ro is the Suape and the Brejo Pernambucano</w:t>
      </w:r>
      <w:r w:rsidR="00D07121" w:rsidRPr="00D07121">
        <w:rPr>
          <w:rFonts w:ascii="Times New Roman" w:hAnsi="Times New Roman" w:cs="Times New Roman"/>
          <w:sz w:val="24"/>
          <w:szCs w:val="24"/>
        </w:rPr>
        <w:t xml:space="preserve"> proved less uneven. As inequality measured by the average income that best explains the existing inequality in Pernambuco.</w:t>
      </w:r>
    </w:p>
    <w:p w:rsidR="00F03492" w:rsidRPr="009C1433" w:rsidRDefault="00F03492" w:rsidP="00A43129">
      <w:pPr>
        <w:rPr>
          <w:rFonts w:ascii="Times New Roman" w:hAnsi="Times New Roman" w:cs="Times New Roman"/>
          <w:sz w:val="24"/>
          <w:szCs w:val="24"/>
          <w:lang w:val="en-US"/>
        </w:rPr>
      </w:pPr>
      <w:r w:rsidRPr="009C1433">
        <w:rPr>
          <w:rFonts w:ascii="Times New Roman" w:hAnsi="Times New Roman" w:cs="Times New Roman"/>
          <w:b/>
          <w:sz w:val="24"/>
          <w:szCs w:val="24"/>
          <w:lang w:val="en-US"/>
        </w:rPr>
        <w:t>Key-words:</w:t>
      </w:r>
      <w:r w:rsidR="003B789B" w:rsidRPr="009C1433">
        <w:rPr>
          <w:rFonts w:ascii="Times New Roman" w:hAnsi="Times New Roman" w:cs="Times New Roman"/>
          <w:b/>
          <w:sz w:val="24"/>
          <w:szCs w:val="24"/>
          <w:lang w:val="en-US"/>
        </w:rPr>
        <w:t xml:space="preserve"> </w:t>
      </w:r>
      <w:r w:rsidR="003B789B" w:rsidRPr="009C1433">
        <w:rPr>
          <w:rFonts w:ascii="Times New Roman" w:hAnsi="Times New Roman" w:cs="Times New Roman"/>
          <w:sz w:val="24"/>
          <w:szCs w:val="24"/>
          <w:lang w:val="en-US"/>
        </w:rPr>
        <w:t>Theil-T, inequality, GDP, economic growth, Mesoregions Pernambucanas, Pernambuco</w:t>
      </w:r>
    </w:p>
    <w:p w:rsidR="009612F3" w:rsidRPr="009C1433" w:rsidRDefault="009612F3" w:rsidP="00A43129">
      <w:pPr>
        <w:rPr>
          <w:rFonts w:ascii="Times New Roman" w:hAnsi="Times New Roman" w:cs="Times New Roman"/>
          <w:sz w:val="24"/>
          <w:szCs w:val="24"/>
          <w:lang w:val="en-US"/>
        </w:rPr>
      </w:pPr>
    </w:p>
    <w:p w:rsidR="009612F3" w:rsidRPr="009C1433" w:rsidRDefault="009612F3" w:rsidP="00A43129">
      <w:pPr>
        <w:rPr>
          <w:rFonts w:ascii="Times New Roman" w:hAnsi="Times New Roman" w:cs="Times New Roman"/>
          <w:b/>
          <w:sz w:val="24"/>
          <w:szCs w:val="24"/>
          <w:lang w:val="en-US"/>
        </w:rPr>
      </w:pPr>
    </w:p>
    <w:p w:rsidR="00A43129" w:rsidRPr="00F03492" w:rsidRDefault="00643B9D" w:rsidP="00A43129">
      <w:pPr>
        <w:rPr>
          <w:rFonts w:ascii="Times New Roman" w:hAnsi="Times New Roman" w:cs="Times New Roman"/>
          <w:b/>
          <w:sz w:val="24"/>
          <w:szCs w:val="24"/>
        </w:rPr>
      </w:pPr>
      <w:r w:rsidRPr="00F03492">
        <w:rPr>
          <w:rFonts w:ascii="Times New Roman" w:hAnsi="Times New Roman" w:cs="Times New Roman"/>
          <w:b/>
          <w:sz w:val="24"/>
          <w:szCs w:val="24"/>
        </w:rPr>
        <w:t>JEL</w:t>
      </w:r>
      <w:r w:rsidR="00944DFF" w:rsidRPr="00F03492">
        <w:rPr>
          <w:rFonts w:ascii="Times New Roman" w:hAnsi="Times New Roman" w:cs="Times New Roman"/>
          <w:b/>
          <w:sz w:val="24"/>
          <w:szCs w:val="24"/>
        </w:rPr>
        <w:t xml:space="preserve"> Classification:</w:t>
      </w:r>
      <w:r w:rsidRPr="00F03492">
        <w:rPr>
          <w:rFonts w:ascii="Times New Roman" w:hAnsi="Times New Roman" w:cs="Times New Roman"/>
          <w:b/>
          <w:sz w:val="24"/>
          <w:szCs w:val="24"/>
        </w:rPr>
        <w:t xml:space="preserve"> R1</w:t>
      </w:r>
      <w:r w:rsidR="00944DFF" w:rsidRPr="00F03492">
        <w:rPr>
          <w:rFonts w:ascii="Times New Roman" w:hAnsi="Times New Roman" w:cs="Times New Roman"/>
          <w:b/>
          <w:sz w:val="24"/>
          <w:szCs w:val="24"/>
        </w:rPr>
        <w:t>.</w:t>
      </w:r>
    </w:p>
    <w:p w:rsidR="00944DFF" w:rsidRDefault="00944DFF" w:rsidP="00A43129">
      <w:pPr>
        <w:rPr>
          <w:rFonts w:ascii="Times New Roman" w:hAnsi="Times New Roman" w:cs="Times New Roman"/>
          <w:sz w:val="24"/>
          <w:szCs w:val="24"/>
        </w:rPr>
      </w:pPr>
    </w:p>
    <w:p w:rsidR="00F03492" w:rsidRDefault="00F03492" w:rsidP="00A43129">
      <w:pPr>
        <w:rPr>
          <w:rFonts w:ascii="Times New Roman" w:hAnsi="Times New Roman" w:cs="Times New Roman"/>
          <w:sz w:val="24"/>
          <w:szCs w:val="24"/>
        </w:rPr>
      </w:pPr>
    </w:p>
    <w:p w:rsidR="001B6817" w:rsidRPr="001B6817" w:rsidRDefault="00643B9D" w:rsidP="00A61910">
      <w:pPr>
        <w:spacing w:after="0" w:line="240" w:lineRule="auto"/>
        <w:rPr>
          <w:rStyle w:val="Hyperlink"/>
          <w:rFonts w:ascii="Times New Roman" w:hAnsi="Times New Roman" w:cs="Times New Roman"/>
          <w:b/>
          <w:color w:val="000000" w:themeColor="text1"/>
          <w:sz w:val="24"/>
          <w:szCs w:val="24"/>
          <w:u w:val="none"/>
        </w:rPr>
      </w:pPr>
      <w:r w:rsidRPr="001B6817">
        <w:rPr>
          <w:rStyle w:val="Hyperlink"/>
          <w:rFonts w:ascii="Times New Roman" w:hAnsi="Times New Roman" w:cs="Times New Roman"/>
          <w:b/>
          <w:color w:val="000000" w:themeColor="text1"/>
          <w:sz w:val="24"/>
          <w:szCs w:val="24"/>
          <w:u w:val="none"/>
        </w:rPr>
        <w:lastRenderedPageBreak/>
        <w:t>1  INTRODUÇÃO</w:t>
      </w:r>
    </w:p>
    <w:p w:rsidR="0069150D" w:rsidRDefault="0069150D"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1B6817" w:rsidRPr="001B6817" w:rsidRDefault="001B6817" w:rsidP="00220C19">
      <w:pPr>
        <w:spacing w:line="240" w:lineRule="auto"/>
        <w:ind w:firstLine="709"/>
        <w:jc w:val="both"/>
        <w:rPr>
          <w:rStyle w:val="Hyperlink"/>
          <w:rFonts w:ascii="Times New Roman" w:hAnsi="Times New Roman" w:cs="Times New Roman"/>
          <w:color w:val="000000" w:themeColor="text1"/>
          <w:sz w:val="24"/>
          <w:szCs w:val="24"/>
          <w:u w:val="none"/>
        </w:rPr>
      </w:pPr>
      <w:r w:rsidRPr="001B6817">
        <w:rPr>
          <w:rStyle w:val="Hyperlink"/>
          <w:rFonts w:ascii="Times New Roman" w:hAnsi="Times New Roman" w:cs="Times New Roman"/>
          <w:color w:val="000000" w:themeColor="text1"/>
          <w:sz w:val="24"/>
          <w:szCs w:val="24"/>
          <w:u w:val="none"/>
        </w:rPr>
        <w:t xml:space="preserve">A desigualdade salarial brasileira é um problema estrutural que gera muitas discussões a respeito do crescimento econômico do país. </w:t>
      </w:r>
      <w:r w:rsidR="00CC22B9">
        <w:rPr>
          <w:rStyle w:val="Hyperlink"/>
          <w:rFonts w:ascii="Times New Roman" w:hAnsi="Times New Roman" w:cs="Times New Roman"/>
          <w:color w:val="000000" w:themeColor="text1"/>
          <w:sz w:val="24"/>
          <w:szCs w:val="24"/>
          <w:u w:val="none"/>
        </w:rPr>
        <w:t xml:space="preserve">Desse modo, </w:t>
      </w:r>
      <w:r w:rsidRPr="001B6817">
        <w:rPr>
          <w:rStyle w:val="Hyperlink"/>
          <w:rFonts w:ascii="Times New Roman" w:hAnsi="Times New Roman" w:cs="Times New Roman"/>
          <w:color w:val="000000" w:themeColor="text1"/>
          <w:sz w:val="24"/>
          <w:szCs w:val="24"/>
          <w:u w:val="none"/>
        </w:rPr>
        <w:t>a desigualdade de renda brasileira vem caindo, segundo dados do IBGE e do Banco Mundial respectivamente, o índice de Gini brasileiro passou de 0,5</w:t>
      </w:r>
      <w:r w:rsidR="00CC22B9">
        <w:rPr>
          <w:rStyle w:val="Hyperlink"/>
          <w:rFonts w:ascii="Times New Roman" w:hAnsi="Times New Roman" w:cs="Times New Roman"/>
          <w:color w:val="000000" w:themeColor="text1"/>
          <w:sz w:val="24"/>
          <w:szCs w:val="24"/>
          <w:u w:val="none"/>
        </w:rPr>
        <w:t>92</w:t>
      </w:r>
      <w:r w:rsidRPr="001B6817">
        <w:rPr>
          <w:rStyle w:val="Hyperlink"/>
          <w:rFonts w:ascii="Times New Roman" w:hAnsi="Times New Roman" w:cs="Times New Roman"/>
          <w:color w:val="000000" w:themeColor="text1"/>
          <w:sz w:val="24"/>
          <w:szCs w:val="24"/>
          <w:u w:val="none"/>
        </w:rPr>
        <w:t xml:space="preserve"> em 1999 para 0,52</w:t>
      </w:r>
      <w:r w:rsidR="00CC22B9">
        <w:rPr>
          <w:rStyle w:val="Hyperlink"/>
          <w:rFonts w:ascii="Times New Roman" w:hAnsi="Times New Roman" w:cs="Times New Roman"/>
          <w:color w:val="000000" w:themeColor="text1"/>
          <w:sz w:val="24"/>
          <w:szCs w:val="24"/>
          <w:u w:val="none"/>
        </w:rPr>
        <w:t>7</w:t>
      </w:r>
      <w:r w:rsidRPr="001B6817">
        <w:rPr>
          <w:rStyle w:val="Hyperlink"/>
          <w:rFonts w:ascii="Times New Roman" w:hAnsi="Times New Roman" w:cs="Times New Roman"/>
          <w:color w:val="000000" w:themeColor="text1"/>
          <w:sz w:val="24"/>
          <w:szCs w:val="24"/>
          <w:u w:val="none"/>
        </w:rPr>
        <w:t xml:space="preserve"> em 2013.</w:t>
      </w:r>
    </w:p>
    <w:p w:rsidR="001B6817" w:rsidRPr="001B6817" w:rsidRDefault="001B6817" w:rsidP="00220C19">
      <w:pPr>
        <w:spacing w:line="240" w:lineRule="auto"/>
        <w:ind w:firstLine="709"/>
        <w:jc w:val="both"/>
        <w:rPr>
          <w:rStyle w:val="Hyperlink"/>
          <w:rFonts w:ascii="Times New Roman" w:hAnsi="Times New Roman" w:cs="Times New Roman"/>
          <w:color w:val="000000" w:themeColor="text1"/>
          <w:sz w:val="24"/>
          <w:szCs w:val="24"/>
          <w:u w:val="none"/>
        </w:rPr>
      </w:pPr>
      <w:r w:rsidRPr="001B6817">
        <w:rPr>
          <w:rStyle w:val="Hyperlink"/>
          <w:rFonts w:ascii="Times New Roman" w:hAnsi="Times New Roman" w:cs="Times New Roman"/>
          <w:color w:val="000000" w:themeColor="text1"/>
          <w:sz w:val="24"/>
          <w:szCs w:val="24"/>
          <w:u w:val="none"/>
        </w:rPr>
        <w:t>Essa disparidade se encontra presente nas regiões do Brasil, onde na literatura</w:t>
      </w:r>
      <w:r w:rsidR="00DE6C8C">
        <w:rPr>
          <w:rStyle w:val="Hyperlink"/>
          <w:rFonts w:ascii="Times New Roman" w:hAnsi="Times New Roman" w:cs="Times New Roman"/>
          <w:color w:val="000000" w:themeColor="text1"/>
          <w:sz w:val="24"/>
          <w:szCs w:val="24"/>
          <w:u w:val="none"/>
        </w:rPr>
        <w:t xml:space="preserve"> econômica é abordado</w:t>
      </w:r>
      <w:r w:rsidR="00FD4BDF">
        <w:rPr>
          <w:rStyle w:val="Hyperlink"/>
          <w:rFonts w:ascii="Times New Roman" w:hAnsi="Times New Roman" w:cs="Times New Roman"/>
          <w:color w:val="000000" w:themeColor="text1"/>
          <w:sz w:val="24"/>
          <w:szCs w:val="24"/>
          <w:u w:val="none"/>
        </w:rPr>
        <w:t xml:space="preserve"> que a região Nordeste é</w:t>
      </w:r>
      <w:r w:rsidRPr="001B6817">
        <w:rPr>
          <w:rStyle w:val="Hyperlink"/>
          <w:rFonts w:ascii="Times New Roman" w:hAnsi="Times New Roman" w:cs="Times New Roman"/>
          <w:color w:val="000000" w:themeColor="text1"/>
          <w:sz w:val="24"/>
          <w:szCs w:val="24"/>
          <w:u w:val="none"/>
        </w:rPr>
        <w:t xml:space="preserve"> a mais desigual do país e a região Sul a mais igual do país, tendo como maior responsável a variável educação que sozinha responde por cerca de 30% da desigualdade salarial. Essa desigualdade salarial das regiões brasileiras </w:t>
      </w:r>
      <w:r w:rsidR="00DE6C8C">
        <w:rPr>
          <w:rStyle w:val="Hyperlink"/>
          <w:rFonts w:ascii="Times New Roman" w:hAnsi="Times New Roman" w:cs="Times New Roman"/>
          <w:color w:val="000000" w:themeColor="text1"/>
          <w:sz w:val="24"/>
          <w:szCs w:val="24"/>
          <w:u w:val="none"/>
        </w:rPr>
        <w:t>é</w:t>
      </w:r>
      <w:r w:rsidRPr="001B6817">
        <w:rPr>
          <w:rStyle w:val="Hyperlink"/>
          <w:rFonts w:ascii="Times New Roman" w:hAnsi="Times New Roman" w:cs="Times New Roman"/>
          <w:color w:val="000000" w:themeColor="text1"/>
          <w:sz w:val="24"/>
          <w:szCs w:val="24"/>
          <w:u w:val="none"/>
        </w:rPr>
        <w:t xml:space="preserve"> estudada por vários au</w:t>
      </w:r>
      <w:r w:rsidR="005F3C7A">
        <w:rPr>
          <w:rStyle w:val="Hyperlink"/>
          <w:rFonts w:ascii="Times New Roman" w:hAnsi="Times New Roman" w:cs="Times New Roman"/>
          <w:color w:val="000000" w:themeColor="text1"/>
          <w:sz w:val="24"/>
          <w:szCs w:val="24"/>
          <w:u w:val="none"/>
        </w:rPr>
        <w:t>tores como Salvato e Souza (2008</w:t>
      </w:r>
      <w:r w:rsidRPr="001B6817">
        <w:rPr>
          <w:rStyle w:val="Hyperlink"/>
          <w:rFonts w:ascii="Times New Roman" w:hAnsi="Times New Roman" w:cs="Times New Roman"/>
          <w:color w:val="000000" w:themeColor="text1"/>
          <w:sz w:val="24"/>
          <w:szCs w:val="24"/>
          <w:u w:val="none"/>
        </w:rPr>
        <w:t>)</w:t>
      </w:r>
      <w:r w:rsidR="0059285F">
        <w:rPr>
          <w:rStyle w:val="Hyperlink"/>
          <w:rFonts w:ascii="Times New Roman" w:hAnsi="Times New Roman" w:cs="Times New Roman"/>
          <w:color w:val="000000" w:themeColor="text1"/>
          <w:sz w:val="24"/>
          <w:szCs w:val="24"/>
          <w:u w:val="none"/>
        </w:rPr>
        <w:t>,</w:t>
      </w:r>
      <w:r w:rsidRPr="001B6817">
        <w:rPr>
          <w:rStyle w:val="Hyperlink"/>
          <w:rFonts w:ascii="Times New Roman" w:hAnsi="Times New Roman" w:cs="Times New Roman"/>
          <w:color w:val="000000" w:themeColor="text1"/>
          <w:sz w:val="24"/>
          <w:szCs w:val="24"/>
          <w:u w:val="none"/>
        </w:rPr>
        <w:t xml:space="preserve"> </w:t>
      </w:r>
      <w:r w:rsidR="00DE6C8C">
        <w:rPr>
          <w:rStyle w:val="Hyperlink"/>
          <w:rFonts w:ascii="Times New Roman" w:hAnsi="Times New Roman" w:cs="Times New Roman"/>
          <w:color w:val="000000" w:themeColor="text1"/>
          <w:sz w:val="24"/>
          <w:szCs w:val="24"/>
          <w:u w:val="none"/>
        </w:rPr>
        <w:t xml:space="preserve">que </w:t>
      </w:r>
      <w:r w:rsidRPr="001B6817">
        <w:rPr>
          <w:rStyle w:val="Hyperlink"/>
          <w:rFonts w:ascii="Times New Roman" w:hAnsi="Times New Roman" w:cs="Times New Roman"/>
          <w:color w:val="000000" w:themeColor="text1"/>
          <w:sz w:val="24"/>
          <w:szCs w:val="24"/>
          <w:u w:val="none"/>
        </w:rPr>
        <w:t>afirma</w:t>
      </w:r>
      <w:r w:rsidR="00DE6C8C">
        <w:rPr>
          <w:rStyle w:val="Hyperlink"/>
          <w:rFonts w:ascii="Times New Roman" w:hAnsi="Times New Roman" w:cs="Times New Roman"/>
          <w:color w:val="000000" w:themeColor="text1"/>
          <w:sz w:val="24"/>
          <w:szCs w:val="24"/>
          <w:u w:val="none"/>
        </w:rPr>
        <w:t>ram</w:t>
      </w:r>
      <w:r w:rsidRPr="001B6817">
        <w:rPr>
          <w:rStyle w:val="Hyperlink"/>
          <w:rFonts w:ascii="Times New Roman" w:hAnsi="Times New Roman" w:cs="Times New Roman"/>
          <w:color w:val="000000" w:themeColor="text1"/>
          <w:sz w:val="24"/>
          <w:szCs w:val="24"/>
          <w:u w:val="none"/>
        </w:rPr>
        <w:t xml:space="preserve"> que est</w:t>
      </w:r>
      <w:r w:rsidR="00DE6C8C">
        <w:rPr>
          <w:rStyle w:val="Hyperlink"/>
          <w:rFonts w:ascii="Times New Roman" w:hAnsi="Times New Roman" w:cs="Times New Roman"/>
          <w:color w:val="000000" w:themeColor="text1"/>
          <w:sz w:val="24"/>
          <w:szCs w:val="24"/>
          <w:u w:val="none"/>
        </w:rPr>
        <w:t>a</w:t>
      </w:r>
      <w:r w:rsidRPr="001B6817">
        <w:rPr>
          <w:rStyle w:val="Hyperlink"/>
          <w:rFonts w:ascii="Times New Roman" w:hAnsi="Times New Roman" w:cs="Times New Roman"/>
          <w:color w:val="000000" w:themeColor="text1"/>
          <w:sz w:val="24"/>
          <w:szCs w:val="24"/>
          <w:u w:val="none"/>
        </w:rPr>
        <w:t xml:space="preserve"> desigualdade de renda traz consequências não só para a região, mas também para toda a nação, contribuindo para uma maior pobreza e menor desenvolvimento do país. </w:t>
      </w:r>
      <w:r w:rsidR="00DE6C8C">
        <w:rPr>
          <w:rStyle w:val="Hyperlink"/>
          <w:rFonts w:ascii="Times New Roman" w:hAnsi="Times New Roman" w:cs="Times New Roman"/>
          <w:color w:val="000000" w:themeColor="text1"/>
          <w:sz w:val="24"/>
          <w:szCs w:val="24"/>
          <w:u w:val="none"/>
        </w:rPr>
        <w:t xml:space="preserve">Monteiro </w:t>
      </w:r>
      <w:r w:rsidR="0059285F">
        <w:rPr>
          <w:rStyle w:val="Hyperlink"/>
          <w:rFonts w:ascii="Times New Roman" w:hAnsi="Times New Roman" w:cs="Times New Roman"/>
          <w:color w:val="000000" w:themeColor="text1"/>
          <w:sz w:val="24"/>
          <w:szCs w:val="24"/>
          <w:u w:val="none"/>
        </w:rPr>
        <w:t>Neto (1997) verificou</w:t>
      </w:r>
      <w:r w:rsidRPr="001B6817">
        <w:rPr>
          <w:rStyle w:val="Hyperlink"/>
          <w:rFonts w:ascii="Times New Roman" w:hAnsi="Times New Roman" w:cs="Times New Roman"/>
          <w:color w:val="000000" w:themeColor="text1"/>
          <w:sz w:val="24"/>
          <w:szCs w:val="24"/>
          <w:u w:val="none"/>
        </w:rPr>
        <w:t xml:space="preserve"> que a região Nordeste não consegue reduzir a disparidade de renda </w:t>
      </w:r>
      <w:r w:rsidRPr="00DE6C8C">
        <w:rPr>
          <w:rStyle w:val="Hyperlink"/>
          <w:rFonts w:ascii="Times New Roman" w:hAnsi="Times New Roman" w:cs="Times New Roman"/>
          <w:i/>
          <w:color w:val="000000" w:themeColor="text1"/>
          <w:sz w:val="24"/>
          <w:szCs w:val="24"/>
          <w:u w:val="none"/>
        </w:rPr>
        <w:t>per capita</w:t>
      </w:r>
      <w:r w:rsidRPr="001B6817">
        <w:rPr>
          <w:rStyle w:val="Hyperlink"/>
          <w:rFonts w:ascii="Times New Roman" w:hAnsi="Times New Roman" w:cs="Times New Roman"/>
          <w:color w:val="000000" w:themeColor="text1"/>
          <w:sz w:val="24"/>
          <w:szCs w:val="24"/>
          <w:u w:val="none"/>
        </w:rPr>
        <w:t xml:space="preserve"> em rela</w:t>
      </w:r>
      <w:r w:rsidR="0082036B">
        <w:rPr>
          <w:rStyle w:val="Hyperlink"/>
          <w:rFonts w:ascii="Times New Roman" w:hAnsi="Times New Roman" w:cs="Times New Roman"/>
          <w:color w:val="000000" w:themeColor="text1"/>
          <w:sz w:val="24"/>
          <w:szCs w:val="24"/>
          <w:u w:val="none"/>
        </w:rPr>
        <w:t>ção a</w:t>
      </w:r>
      <w:r w:rsidR="00640848">
        <w:rPr>
          <w:rStyle w:val="Hyperlink"/>
          <w:rFonts w:ascii="Times New Roman" w:hAnsi="Times New Roman" w:cs="Times New Roman"/>
          <w:color w:val="000000" w:themeColor="text1"/>
          <w:sz w:val="24"/>
          <w:szCs w:val="24"/>
          <w:u w:val="none"/>
        </w:rPr>
        <w:t xml:space="preserve"> do</w:t>
      </w:r>
      <w:r w:rsidR="0082036B">
        <w:rPr>
          <w:rStyle w:val="Hyperlink"/>
          <w:rFonts w:ascii="Times New Roman" w:hAnsi="Times New Roman" w:cs="Times New Roman"/>
          <w:color w:val="000000" w:themeColor="text1"/>
          <w:sz w:val="24"/>
          <w:szCs w:val="24"/>
          <w:u w:val="none"/>
        </w:rPr>
        <w:t xml:space="preserve"> país nos</w:t>
      </w:r>
      <w:r w:rsidRPr="001B6817">
        <w:rPr>
          <w:rStyle w:val="Hyperlink"/>
          <w:rFonts w:ascii="Times New Roman" w:hAnsi="Times New Roman" w:cs="Times New Roman"/>
          <w:color w:val="000000" w:themeColor="text1"/>
          <w:sz w:val="24"/>
          <w:szCs w:val="24"/>
          <w:u w:val="none"/>
        </w:rPr>
        <w:t xml:space="preserve"> períodos de crescimento.</w:t>
      </w:r>
    </w:p>
    <w:p w:rsidR="00640848" w:rsidRDefault="00640848"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Assim, o Nordeste desperta o interesse dos pesquisadores e alguns estudos vem</w:t>
      </w:r>
      <w:r w:rsidR="001B6817" w:rsidRPr="001B6817">
        <w:rPr>
          <w:rStyle w:val="Hyperlink"/>
          <w:rFonts w:ascii="Times New Roman" w:hAnsi="Times New Roman" w:cs="Times New Roman"/>
          <w:color w:val="000000" w:themeColor="text1"/>
          <w:sz w:val="24"/>
          <w:szCs w:val="24"/>
          <w:u w:val="none"/>
        </w:rPr>
        <w:t xml:space="preserve"> sendo</w:t>
      </w:r>
      <w:r>
        <w:rPr>
          <w:rStyle w:val="Hyperlink"/>
          <w:rFonts w:ascii="Times New Roman" w:hAnsi="Times New Roman" w:cs="Times New Roman"/>
          <w:color w:val="000000" w:themeColor="text1"/>
          <w:sz w:val="24"/>
          <w:szCs w:val="24"/>
          <w:u w:val="none"/>
        </w:rPr>
        <w:t xml:space="preserve"> aplicados à região</w:t>
      </w:r>
      <w:r w:rsidR="00D65D3D">
        <w:rPr>
          <w:rStyle w:val="Hyperlink"/>
          <w:rFonts w:ascii="Times New Roman" w:hAnsi="Times New Roman" w:cs="Times New Roman"/>
          <w:color w:val="000000" w:themeColor="text1"/>
          <w:sz w:val="24"/>
          <w:szCs w:val="24"/>
          <w:u w:val="none"/>
        </w:rPr>
        <w:t xml:space="preserve">, porém, a literatura </w:t>
      </w:r>
      <w:r w:rsidR="0009350A">
        <w:rPr>
          <w:rStyle w:val="Hyperlink"/>
          <w:rFonts w:ascii="Times New Roman" w:hAnsi="Times New Roman" w:cs="Times New Roman"/>
          <w:color w:val="000000" w:themeColor="text1"/>
          <w:sz w:val="24"/>
          <w:szCs w:val="24"/>
          <w:u w:val="none"/>
        </w:rPr>
        <w:t>direcionada</w:t>
      </w:r>
      <w:r w:rsidR="00D65D3D">
        <w:rPr>
          <w:rStyle w:val="Hyperlink"/>
          <w:rFonts w:ascii="Times New Roman" w:hAnsi="Times New Roman" w:cs="Times New Roman"/>
          <w:color w:val="000000" w:themeColor="text1"/>
          <w:sz w:val="24"/>
          <w:szCs w:val="24"/>
          <w:u w:val="none"/>
        </w:rPr>
        <w:t xml:space="preserve"> a Pernambuco é escassa</w:t>
      </w:r>
      <w:r w:rsidR="001B6817" w:rsidRPr="001B6817">
        <w:rPr>
          <w:rStyle w:val="Hyperlink"/>
          <w:rFonts w:ascii="Times New Roman" w:hAnsi="Times New Roman" w:cs="Times New Roman"/>
          <w:color w:val="000000" w:themeColor="text1"/>
          <w:sz w:val="24"/>
          <w:szCs w:val="24"/>
          <w:u w:val="none"/>
        </w:rPr>
        <w:t>.</w:t>
      </w:r>
      <w:r w:rsidR="0009350A">
        <w:rPr>
          <w:rStyle w:val="Hyperlink"/>
          <w:rFonts w:ascii="Times New Roman" w:hAnsi="Times New Roman" w:cs="Times New Roman"/>
          <w:color w:val="000000" w:themeColor="text1"/>
          <w:sz w:val="24"/>
          <w:szCs w:val="24"/>
          <w:u w:val="none"/>
        </w:rPr>
        <w:t xml:space="preserve"> </w:t>
      </w:r>
      <w:r w:rsidR="00C8218B">
        <w:rPr>
          <w:rStyle w:val="Hyperlink"/>
          <w:rFonts w:ascii="Times New Roman" w:hAnsi="Times New Roman" w:cs="Times New Roman"/>
          <w:color w:val="000000" w:themeColor="text1"/>
          <w:sz w:val="24"/>
          <w:szCs w:val="24"/>
          <w:u w:val="none"/>
        </w:rPr>
        <w:t xml:space="preserve">Neste contexto, é importante investigar o comportamento das disparidades de renda nas microrregiões pernambucanas. </w:t>
      </w:r>
      <w:r w:rsidR="00CF255E">
        <w:rPr>
          <w:rStyle w:val="Hyperlink"/>
          <w:rFonts w:ascii="Times New Roman" w:hAnsi="Times New Roman" w:cs="Times New Roman"/>
          <w:color w:val="000000" w:themeColor="text1"/>
          <w:sz w:val="24"/>
          <w:szCs w:val="24"/>
          <w:u w:val="none"/>
        </w:rPr>
        <w:t xml:space="preserve">A decomposição do índice Theil-T tem sido amplamente utilizada, </w:t>
      </w:r>
      <w:r w:rsidR="003A5A23">
        <w:rPr>
          <w:rStyle w:val="Hyperlink"/>
          <w:rFonts w:ascii="Times New Roman" w:hAnsi="Times New Roman" w:cs="Times New Roman"/>
          <w:color w:val="000000" w:themeColor="text1"/>
          <w:sz w:val="24"/>
          <w:szCs w:val="24"/>
          <w:u w:val="none"/>
        </w:rPr>
        <w:t xml:space="preserve">conforme discutido por Araujo, Salvato e Souza (2008), é possível observar o diferencial devido à desigualdade dentro de cada grupo e a causa pelo fator de separação dos grupos. </w:t>
      </w:r>
    </w:p>
    <w:p w:rsidR="00D9268C" w:rsidRDefault="00EC2A61"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Podendo ser destacados os trabalhos aplicados</w:t>
      </w:r>
      <w:r w:rsidR="00D9268C">
        <w:rPr>
          <w:rStyle w:val="Hyperlink"/>
          <w:rFonts w:ascii="Times New Roman" w:hAnsi="Times New Roman" w:cs="Times New Roman"/>
          <w:color w:val="000000" w:themeColor="text1"/>
          <w:sz w:val="24"/>
          <w:szCs w:val="24"/>
          <w:u w:val="none"/>
        </w:rPr>
        <w:t xml:space="preserve"> ao Brasil (Ferreira e Litchfield, 2000; Hoffmann, 2000; Ferreira et al. 2006; Barros et al. 2006; Ramos, 2007; Silva e Fonseca Neto, 2012; Salvato e Souza, 2008), Nordeste (</w:t>
      </w:r>
      <w:r w:rsidR="001E4380">
        <w:rPr>
          <w:rStyle w:val="Hyperlink"/>
          <w:rFonts w:ascii="Times New Roman" w:hAnsi="Times New Roman" w:cs="Times New Roman"/>
          <w:color w:val="000000" w:themeColor="text1"/>
          <w:sz w:val="24"/>
          <w:szCs w:val="24"/>
          <w:u w:val="none"/>
        </w:rPr>
        <w:t>Monteiro Neto, 1997; Siqueira e Siqueira, 2006; Caldas e Menezes, 2010) e para Pernambuco (</w:t>
      </w:r>
      <w:r w:rsidR="00A019BE">
        <w:rPr>
          <w:rFonts w:ascii="Times New Roman" w:hAnsi="Times New Roman"/>
          <w:sz w:val="24"/>
          <w:szCs w:val="24"/>
        </w:rPr>
        <w:t xml:space="preserve">Pereira, Lima e Araújo Júnior, </w:t>
      </w:r>
      <w:r w:rsidR="001E4380">
        <w:rPr>
          <w:rFonts w:ascii="Times New Roman" w:hAnsi="Times New Roman"/>
          <w:sz w:val="24"/>
          <w:szCs w:val="24"/>
        </w:rPr>
        <w:t>2014</w:t>
      </w:r>
      <w:r w:rsidR="00A019BE">
        <w:rPr>
          <w:rFonts w:ascii="Times New Roman" w:hAnsi="Times New Roman"/>
          <w:sz w:val="24"/>
          <w:szCs w:val="24"/>
        </w:rPr>
        <w:t>; Santos et al., 2015</w:t>
      </w:r>
      <w:r w:rsidR="001E4380">
        <w:rPr>
          <w:rFonts w:ascii="Times New Roman" w:hAnsi="Times New Roman"/>
          <w:sz w:val="24"/>
          <w:szCs w:val="24"/>
        </w:rPr>
        <w:t>)</w:t>
      </w:r>
      <w:r w:rsidR="00DA66DF">
        <w:rPr>
          <w:rFonts w:ascii="Times New Roman" w:hAnsi="Times New Roman"/>
          <w:sz w:val="24"/>
          <w:szCs w:val="24"/>
        </w:rPr>
        <w:t>, dentre outros</w:t>
      </w:r>
      <w:r w:rsidR="00A019BE">
        <w:rPr>
          <w:rFonts w:ascii="Times New Roman" w:hAnsi="Times New Roman"/>
          <w:sz w:val="24"/>
          <w:szCs w:val="24"/>
        </w:rPr>
        <w:t>.</w:t>
      </w:r>
    </w:p>
    <w:p w:rsidR="001B6817" w:rsidRDefault="00E56CB5"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O</w:t>
      </w:r>
      <w:r w:rsidR="001B6817" w:rsidRPr="001B6817">
        <w:rPr>
          <w:rStyle w:val="Hyperlink"/>
          <w:rFonts w:ascii="Times New Roman" w:hAnsi="Times New Roman" w:cs="Times New Roman"/>
          <w:color w:val="000000" w:themeColor="text1"/>
          <w:sz w:val="24"/>
          <w:szCs w:val="24"/>
          <w:u w:val="none"/>
        </w:rPr>
        <w:t xml:space="preserve"> Nordeste tem mantido um índice de Gini quase que constante, mas ainda alto. Pernambuco por ser um dos estados que apresenta um grande índice de desigualdade tendo em 1999 atingido 0,604 e em 2012 chegando </w:t>
      </w:r>
      <w:r>
        <w:rPr>
          <w:rStyle w:val="Hyperlink"/>
          <w:rFonts w:ascii="Times New Roman" w:hAnsi="Times New Roman" w:cs="Times New Roman"/>
          <w:color w:val="000000" w:themeColor="text1"/>
          <w:sz w:val="24"/>
          <w:szCs w:val="24"/>
          <w:u w:val="none"/>
        </w:rPr>
        <w:t>a</w:t>
      </w:r>
      <w:r w:rsidR="001B6817" w:rsidRPr="001B6817">
        <w:rPr>
          <w:rStyle w:val="Hyperlink"/>
          <w:rFonts w:ascii="Times New Roman" w:hAnsi="Times New Roman" w:cs="Times New Roman"/>
          <w:color w:val="000000" w:themeColor="text1"/>
          <w:sz w:val="24"/>
          <w:szCs w:val="24"/>
          <w:u w:val="none"/>
        </w:rPr>
        <w:t xml:space="preserve"> 0,507, é objeto de estudo para este trabalho.</w:t>
      </w:r>
      <w:r>
        <w:rPr>
          <w:rStyle w:val="Hyperlink"/>
          <w:rFonts w:ascii="Times New Roman" w:hAnsi="Times New Roman" w:cs="Times New Roman"/>
          <w:color w:val="000000" w:themeColor="text1"/>
          <w:sz w:val="24"/>
          <w:szCs w:val="24"/>
          <w:u w:val="none"/>
        </w:rPr>
        <w:t xml:space="preserve"> </w:t>
      </w:r>
      <w:r w:rsidR="00ED314C">
        <w:rPr>
          <w:rStyle w:val="Hyperlink"/>
          <w:rFonts w:ascii="Times New Roman" w:hAnsi="Times New Roman" w:cs="Times New Roman"/>
          <w:color w:val="000000" w:themeColor="text1"/>
          <w:sz w:val="24"/>
          <w:szCs w:val="24"/>
          <w:u w:val="none"/>
        </w:rPr>
        <w:t>Justamente p</w:t>
      </w:r>
      <w:r w:rsidR="001B6817" w:rsidRPr="001B6817">
        <w:rPr>
          <w:rStyle w:val="Hyperlink"/>
          <w:rFonts w:ascii="Times New Roman" w:hAnsi="Times New Roman" w:cs="Times New Roman"/>
          <w:color w:val="000000" w:themeColor="text1"/>
          <w:sz w:val="24"/>
          <w:szCs w:val="24"/>
          <w:u w:val="none"/>
        </w:rPr>
        <w:t>or ser um</w:t>
      </w:r>
      <w:r w:rsidR="00ED314C">
        <w:rPr>
          <w:rStyle w:val="Hyperlink"/>
          <w:rFonts w:ascii="Times New Roman" w:hAnsi="Times New Roman" w:cs="Times New Roman"/>
          <w:color w:val="000000" w:themeColor="text1"/>
          <w:sz w:val="24"/>
          <w:szCs w:val="24"/>
          <w:u w:val="none"/>
        </w:rPr>
        <w:t xml:space="preserve">a das principais economias do Nordeste, </w:t>
      </w:r>
      <w:r w:rsidR="00745DFE">
        <w:rPr>
          <w:rStyle w:val="Hyperlink"/>
          <w:rFonts w:ascii="Times New Roman" w:hAnsi="Times New Roman" w:cs="Times New Roman"/>
          <w:color w:val="000000" w:themeColor="text1"/>
          <w:sz w:val="24"/>
          <w:szCs w:val="24"/>
          <w:u w:val="none"/>
        </w:rPr>
        <w:t>tendo como polos de desenvolvimento o setor de confecção do Agreste</w:t>
      </w:r>
      <w:r w:rsidR="009C3C31">
        <w:rPr>
          <w:rStyle w:val="Hyperlink"/>
          <w:rFonts w:ascii="Times New Roman" w:hAnsi="Times New Roman" w:cs="Times New Roman"/>
          <w:color w:val="000000" w:themeColor="text1"/>
          <w:sz w:val="24"/>
          <w:szCs w:val="24"/>
          <w:u w:val="none"/>
        </w:rPr>
        <w:t>;</w:t>
      </w:r>
      <w:r w:rsidR="00745DFE">
        <w:rPr>
          <w:rStyle w:val="Hyperlink"/>
          <w:rFonts w:ascii="Times New Roman" w:hAnsi="Times New Roman" w:cs="Times New Roman"/>
          <w:color w:val="000000" w:themeColor="text1"/>
          <w:sz w:val="24"/>
          <w:szCs w:val="24"/>
          <w:u w:val="none"/>
        </w:rPr>
        <w:t xml:space="preserve"> </w:t>
      </w:r>
      <w:r w:rsidR="001B6817" w:rsidRPr="001B6817">
        <w:rPr>
          <w:rStyle w:val="Hyperlink"/>
          <w:rFonts w:ascii="Times New Roman" w:hAnsi="Times New Roman" w:cs="Times New Roman"/>
          <w:color w:val="000000" w:themeColor="text1"/>
          <w:sz w:val="24"/>
          <w:szCs w:val="24"/>
          <w:u w:val="none"/>
        </w:rPr>
        <w:t>a fruticultura</w:t>
      </w:r>
      <w:r w:rsidR="00745DFE">
        <w:rPr>
          <w:rStyle w:val="Hyperlink"/>
          <w:rFonts w:ascii="Times New Roman" w:hAnsi="Times New Roman" w:cs="Times New Roman"/>
          <w:color w:val="000000" w:themeColor="text1"/>
          <w:sz w:val="24"/>
          <w:szCs w:val="24"/>
          <w:u w:val="none"/>
        </w:rPr>
        <w:t xml:space="preserve"> irrigada</w:t>
      </w:r>
      <w:r w:rsidR="001B6817" w:rsidRPr="001B6817">
        <w:rPr>
          <w:rStyle w:val="Hyperlink"/>
          <w:rFonts w:ascii="Times New Roman" w:hAnsi="Times New Roman" w:cs="Times New Roman"/>
          <w:color w:val="000000" w:themeColor="text1"/>
          <w:sz w:val="24"/>
          <w:szCs w:val="24"/>
          <w:u w:val="none"/>
        </w:rPr>
        <w:t xml:space="preserve"> na mesorregião do São Francisco</w:t>
      </w:r>
      <w:r w:rsidR="009C3C31">
        <w:rPr>
          <w:rStyle w:val="Hyperlink"/>
          <w:rFonts w:ascii="Times New Roman" w:hAnsi="Times New Roman" w:cs="Times New Roman"/>
          <w:color w:val="000000" w:themeColor="text1"/>
          <w:sz w:val="24"/>
          <w:szCs w:val="24"/>
          <w:u w:val="none"/>
        </w:rPr>
        <w:t>; na Zona da Mata, a plantação de cana de açúcar</w:t>
      </w:r>
      <w:r w:rsidR="00947F1D">
        <w:rPr>
          <w:rStyle w:val="Hyperlink"/>
          <w:rFonts w:ascii="Times New Roman" w:hAnsi="Times New Roman" w:cs="Times New Roman"/>
          <w:color w:val="000000" w:themeColor="text1"/>
          <w:sz w:val="24"/>
          <w:szCs w:val="24"/>
          <w:u w:val="none"/>
        </w:rPr>
        <w:t>, mais recentemente,</w:t>
      </w:r>
      <w:r w:rsidR="009C3C31">
        <w:rPr>
          <w:rStyle w:val="Hyperlink"/>
          <w:rFonts w:ascii="Times New Roman" w:hAnsi="Times New Roman" w:cs="Times New Roman"/>
          <w:color w:val="000000" w:themeColor="text1"/>
          <w:sz w:val="24"/>
          <w:szCs w:val="24"/>
          <w:u w:val="none"/>
        </w:rPr>
        <w:t xml:space="preserve"> a instalação de indústrias a</w:t>
      </w:r>
      <w:r w:rsidR="00947F1D">
        <w:rPr>
          <w:rStyle w:val="Hyperlink"/>
          <w:rFonts w:ascii="Times New Roman" w:hAnsi="Times New Roman" w:cs="Times New Roman"/>
          <w:color w:val="000000" w:themeColor="text1"/>
          <w:sz w:val="24"/>
          <w:szCs w:val="24"/>
          <w:u w:val="none"/>
        </w:rPr>
        <w:t>limentícia e automobilística; além do polo gesseiro e do comércio no Sertão Pernambucano;</w:t>
      </w:r>
      <w:r w:rsidR="009C3C31">
        <w:rPr>
          <w:rStyle w:val="Hyperlink"/>
          <w:rFonts w:ascii="Times New Roman" w:hAnsi="Times New Roman" w:cs="Times New Roman"/>
          <w:color w:val="000000" w:themeColor="text1"/>
          <w:sz w:val="24"/>
          <w:szCs w:val="24"/>
          <w:u w:val="none"/>
        </w:rPr>
        <w:t xml:space="preserve"> </w:t>
      </w:r>
      <w:r w:rsidR="001B6817" w:rsidRPr="001B6817">
        <w:rPr>
          <w:rStyle w:val="Hyperlink"/>
          <w:rFonts w:ascii="Times New Roman" w:hAnsi="Times New Roman" w:cs="Times New Roman"/>
          <w:color w:val="000000" w:themeColor="text1"/>
          <w:sz w:val="24"/>
          <w:szCs w:val="24"/>
          <w:u w:val="none"/>
        </w:rPr>
        <w:t xml:space="preserve"> e tendo o </w:t>
      </w:r>
      <w:r w:rsidR="00C32240">
        <w:rPr>
          <w:rStyle w:val="Hyperlink"/>
          <w:rFonts w:ascii="Times New Roman" w:hAnsi="Times New Roman" w:cs="Times New Roman"/>
          <w:color w:val="000000" w:themeColor="text1"/>
          <w:sz w:val="24"/>
          <w:szCs w:val="24"/>
          <w:u w:val="none"/>
        </w:rPr>
        <w:t>Complexo Industrial Portuário Governador Eraldo Guedes (P</w:t>
      </w:r>
      <w:r w:rsidR="001B6817" w:rsidRPr="001B6817">
        <w:rPr>
          <w:rStyle w:val="Hyperlink"/>
          <w:rFonts w:ascii="Times New Roman" w:hAnsi="Times New Roman" w:cs="Times New Roman"/>
          <w:color w:val="000000" w:themeColor="text1"/>
          <w:sz w:val="24"/>
          <w:szCs w:val="24"/>
          <w:u w:val="none"/>
        </w:rPr>
        <w:t>orto de Suape</w:t>
      </w:r>
      <w:r w:rsidR="00C32240">
        <w:rPr>
          <w:rStyle w:val="Hyperlink"/>
          <w:rFonts w:ascii="Times New Roman" w:hAnsi="Times New Roman" w:cs="Times New Roman"/>
          <w:color w:val="000000" w:themeColor="text1"/>
          <w:sz w:val="24"/>
          <w:szCs w:val="24"/>
          <w:u w:val="none"/>
        </w:rPr>
        <w:t>)</w:t>
      </w:r>
      <w:r w:rsidR="009C3C31">
        <w:rPr>
          <w:rStyle w:val="Hyperlink"/>
          <w:rFonts w:ascii="Times New Roman" w:hAnsi="Times New Roman" w:cs="Times New Roman"/>
          <w:color w:val="000000" w:themeColor="text1"/>
          <w:sz w:val="24"/>
          <w:szCs w:val="24"/>
          <w:u w:val="none"/>
        </w:rPr>
        <w:t>,</w:t>
      </w:r>
      <w:r w:rsidR="00947F1D">
        <w:rPr>
          <w:rStyle w:val="Hyperlink"/>
          <w:rFonts w:ascii="Times New Roman" w:hAnsi="Times New Roman" w:cs="Times New Roman"/>
          <w:color w:val="000000" w:themeColor="text1"/>
          <w:sz w:val="24"/>
          <w:szCs w:val="24"/>
          <w:u w:val="none"/>
        </w:rPr>
        <w:t xml:space="preserve"> localizado na Região Metropolitana de Recife, </w:t>
      </w:r>
      <w:r w:rsidR="001B6817" w:rsidRPr="001B6817">
        <w:rPr>
          <w:rStyle w:val="Hyperlink"/>
          <w:rFonts w:ascii="Times New Roman" w:hAnsi="Times New Roman" w:cs="Times New Roman"/>
          <w:color w:val="000000" w:themeColor="text1"/>
          <w:sz w:val="24"/>
          <w:szCs w:val="24"/>
          <w:u w:val="none"/>
        </w:rPr>
        <w:t>onde se transacionam as importações e exportações do estado.</w:t>
      </w:r>
    </w:p>
    <w:p w:rsidR="00305B4A" w:rsidRDefault="00A367F2" w:rsidP="00283386">
      <w:pPr>
        <w:spacing w:line="240" w:lineRule="auto"/>
        <w:ind w:firstLine="709"/>
        <w:jc w:val="both"/>
        <w:rPr>
          <w:rStyle w:val="Hyperlink"/>
          <w:rFonts w:ascii="Times New Roman" w:hAnsi="Times New Roman" w:cs="Times New Roman"/>
          <w:color w:val="000000" w:themeColor="text1"/>
          <w:sz w:val="24"/>
          <w:szCs w:val="24"/>
          <w:u w:val="none"/>
        </w:rPr>
      </w:pPr>
      <w:r w:rsidRPr="00821A80">
        <w:rPr>
          <w:rStyle w:val="Hyperlink"/>
          <w:rFonts w:ascii="Times New Roman" w:hAnsi="Times New Roman" w:cs="Times New Roman"/>
          <w:color w:val="000000" w:themeColor="text1"/>
          <w:sz w:val="24"/>
          <w:szCs w:val="24"/>
          <w:u w:val="none"/>
        </w:rPr>
        <w:t>Dessa forma, será realizada a deco</w:t>
      </w:r>
      <w:r w:rsidR="00FC45E2" w:rsidRPr="00821A80">
        <w:rPr>
          <w:rStyle w:val="Hyperlink"/>
          <w:rFonts w:ascii="Times New Roman" w:hAnsi="Times New Roman" w:cs="Times New Roman"/>
          <w:color w:val="000000" w:themeColor="text1"/>
          <w:sz w:val="24"/>
          <w:szCs w:val="24"/>
          <w:u w:val="none"/>
        </w:rPr>
        <w:t>m</w:t>
      </w:r>
      <w:r w:rsidRPr="00821A80">
        <w:rPr>
          <w:rStyle w:val="Hyperlink"/>
          <w:rFonts w:ascii="Times New Roman" w:hAnsi="Times New Roman" w:cs="Times New Roman"/>
          <w:color w:val="000000" w:themeColor="text1"/>
          <w:sz w:val="24"/>
          <w:szCs w:val="24"/>
          <w:u w:val="none"/>
        </w:rPr>
        <w:t>posição do índice de Theil-T</w:t>
      </w:r>
      <w:r w:rsidR="00FC45E2" w:rsidRPr="00821A80">
        <w:rPr>
          <w:rStyle w:val="Hyperlink"/>
          <w:rFonts w:ascii="Times New Roman" w:hAnsi="Times New Roman" w:cs="Times New Roman"/>
          <w:color w:val="000000" w:themeColor="text1"/>
          <w:sz w:val="24"/>
          <w:szCs w:val="24"/>
          <w:u w:val="none"/>
        </w:rPr>
        <w:t xml:space="preserve"> a partir da metodologia de Akita (200</w:t>
      </w:r>
      <w:r w:rsidR="00E14512" w:rsidRPr="00821A80">
        <w:rPr>
          <w:rStyle w:val="Hyperlink"/>
          <w:rFonts w:ascii="Times New Roman" w:hAnsi="Times New Roman" w:cs="Times New Roman"/>
          <w:color w:val="000000" w:themeColor="text1"/>
          <w:sz w:val="24"/>
          <w:szCs w:val="24"/>
          <w:u w:val="none"/>
        </w:rPr>
        <w:t>0</w:t>
      </w:r>
      <w:r w:rsidR="00FC45E2" w:rsidRPr="00821A80">
        <w:rPr>
          <w:rStyle w:val="Hyperlink"/>
          <w:rFonts w:ascii="Times New Roman" w:hAnsi="Times New Roman" w:cs="Times New Roman"/>
          <w:color w:val="000000" w:themeColor="text1"/>
          <w:sz w:val="24"/>
          <w:szCs w:val="24"/>
          <w:u w:val="none"/>
        </w:rPr>
        <w:t>), considerando o</w:t>
      </w:r>
      <w:r w:rsidR="00AF5C2E" w:rsidRPr="00821A80">
        <w:rPr>
          <w:rStyle w:val="Hyperlink"/>
          <w:rFonts w:ascii="Times New Roman" w:hAnsi="Times New Roman" w:cs="Times New Roman"/>
          <w:color w:val="000000" w:themeColor="text1"/>
          <w:sz w:val="24"/>
          <w:szCs w:val="24"/>
          <w:u w:val="none"/>
        </w:rPr>
        <w:t xml:space="preserve"> Produto Interno Bruto</w:t>
      </w:r>
      <w:r w:rsidR="00FC45E2" w:rsidRPr="00821A80">
        <w:rPr>
          <w:rStyle w:val="Hyperlink"/>
          <w:rFonts w:ascii="Times New Roman" w:hAnsi="Times New Roman" w:cs="Times New Roman"/>
          <w:color w:val="000000" w:themeColor="text1"/>
          <w:sz w:val="24"/>
          <w:szCs w:val="24"/>
          <w:u w:val="none"/>
        </w:rPr>
        <w:t xml:space="preserve"> </w:t>
      </w:r>
      <w:r w:rsidR="00AF5C2E" w:rsidRPr="00821A80">
        <w:rPr>
          <w:rStyle w:val="Hyperlink"/>
          <w:rFonts w:ascii="Times New Roman" w:hAnsi="Times New Roman" w:cs="Times New Roman"/>
          <w:color w:val="000000" w:themeColor="text1"/>
          <w:sz w:val="24"/>
          <w:szCs w:val="24"/>
          <w:u w:val="none"/>
        </w:rPr>
        <w:t>(</w:t>
      </w:r>
      <w:r w:rsidR="00FC45E2" w:rsidRPr="00821A80">
        <w:rPr>
          <w:rStyle w:val="Hyperlink"/>
          <w:rFonts w:ascii="Times New Roman" w:hAnsi="Times New Roman" w:cs="Times New Roman"/>
          <w:color w:val="000000" w:themeColor="text1"/>
          <w:sz w:val="24"/>
          <w:szCs w:val="24"/>
          <w:u w:val="none"/>
        </w:rPr>
        <w:t>PIB</w:t>
      </w:r>
      <w:r w:rsidR="00AF5C2E" w:rsidRPr="00821A80">
        <w:rPr>
          <w:rStyle w:val="Hyperlink"/>
          <w:rFonts w:ascii="Times New Roman" w:hAnsi="Times New Roman" w:cs="Times New Roman"/>
          <w:color w:val="000000" w:themeColor="text1"/>
          <w:sz w:val="24"/>
          <w:szCs w:val="24"/>
          <w:u w:val="none"/>
        </w:rPr>
        <w:t>)</w:t>
      </w:r>
      <w:r w:rsidR="00D21A17">
        <w:rPr>
          <w:rStyle w:val="Refdenotaderodap"/>
          <w:rFonts w:ascii="Times New Roman" w:hAnsi="Times New Roman" w:cs="Times New Roman"/>
          <w:color w:val="000000" w:themeColor="text1"/>
          <w:sz w:val="24"/>
          <w:szCs w:val="24"/>
        </w:rPr>
        <w:footnoteReference w:id="1"/>
      </w:r>
      <w:r w:rsidR="00E27EE8">
        <w:rPr>
          <w:rStyle w:val="Hyperlink"/>
          <w:rFonts w:ascii="Times New Roman" w:hAnsi="Times New Roman" w:cs="Times New Roman"/>
          <w:color w:val="000000" w:themeColor="text1"/>
          <w:sz w:val="24"/>
          <w:szCs w:val="24"/>
          <w:u w:val="none"/>
        </w:rPr>
        <w:t xml:space="preserve"> </w:t>
      </w:r>
      <w:r w:rsidR="00FC45E2" w:rsidRPr="00821A80">
        <w:rPr>
          <w:rStyle w:val="Hyperlink"/>
          <w:rFonts w:ascii="Times New Roman" w:hAnsi="Times New Roman" w:cs="Times New Roman"/>
          <w:color w:val="000000" w:themeColor="text1"/>
          <w:sz w:val="24"/>
          <w:szCs w:val="24"/>
          <w:u w:val="none"/>
        </w:rPr>
        <w:t>e a renda</w:t>
      </w:r>
      <w:r w:rsidR="0023465F" w:rsidRPr="00821A80">
        <w:rPr>
          <w:rStyle w:val="Hyperlink"/>
          <w:rFonts w:ascii="Times New Roman" w:hAnsi="Times New Roman" w:cs="Times New Roman"/>
          <w:color w:val="000000" w:themeColor="text1"/>
          <w:sz w:val="24"/>
          <w:szCs w:val="24"/>
          <w:u w:val="none"/>
        </w:rPr>
        <w:t xml:space="preserve"> média</w:t>
      </w:r>
      <w:r w:rsidR="00D21A17">
        <w:rPr>
          <w:rStyle w:val="Refdenotaderodap"/>
          <w:rFonts w:ascii="Times New Roman" w:hAnsi="Times New Roman" w:cs="Times New Roman"/>
          <w:color w:val="000000" w:themeColor="text1"/>
          <w:sz w:val="24"/>
          <w:szCs w:val="24"/>
        </w:rPr>
        <w:footnoteReference w:id="2"/>
      </w:r>
      <w:r w:rsidR="0023465F" w:rsidRPr="00821A80">
        <w:rPr>
          <w:rStyle w:val="Hyperlink"/>
          <w:rFonts w:ascii="Times New Roman" w:hAnsi="Times New Roman" w:cs="Times New Roman"/>
          <w:color w:val="000000" w:themeColor="text1"/>
          <w:sz w:val="24"/>
          <w:szCs w:val="24"/>
          <w:u w:val="none"/>
        </w:rPr>
        <w:t xml:space="preserve"> dos trabalhadores</w:t>
      </w:r>
      <w:r w:rsidR="00E27EE8">
        <w:rPr>
          <w:rStyle w:val="Hyperlink"/>
          <w:rFonts w:ascii="Times New Roman" w:hAnsi="Times New Roman" w:cs="Times New Roman"/>
          <w:color w:val="000000" w:themeColor="text1"/>
          <w:sz w:val="24"/>
          <w:szCs w:val="24"/>
          <w:u w:val="none"/>
        </w:rPr>
        <w:t>,</w:t>
      </w:r>
      <w:r w:rsidR="00FC45E2" w:rsidRPr="00821A80">
        <w:rPr>
          <w:rStyle w:val="Hyperlink"/>
          <w:rFonts w:ascii="Times New Roman" w:hAnsi="Times New Roman" w:cs="Times New Roman"/>
          <w:color w:val="000000" w:themeColor="text1"/>
          <w:sz w:val="24"/>
          <w:szCs w:val="24"/>
          <w:u w:val="none"/>
        </w:rPr>
        <w:t xml:space="preserve"> a partir de dados dos setores primário, secundário e terciário para as microrregiões pernambucanas</w:t>
      </w:r>
      <w:r w:rsidR="00E27EE8">
        <w:rPr>
          <w:rStyle w:val="Hyperlink"/>
          <w:rFonts w:ascii="Times New Roman" w:hAnsi="Times New Roman" w:cs="Times New Roman"/>
          <w:color w:val="000000" w:themeColor="text1"/>
          <w:sz w:val="24"/>
          <w:szCs w:val="24"/>
          <w:u w:val="none"/>
        </w:rPr>
        <w:t xml:space="preserve"> no período de 2002 a 2012</w:t>
      </w:r>
      <w:r w:rsidR="00FC45E2" w:rsidRPr="00821A80">
        <w:rPr>
          <w:rStyle w:val="Hyperlink"/>
          <w:rFonts w:ascii="Times New Roman" w:hAnsi="Times New Roman" w:cs="Times New Roman"/>
          <w:color w:val="000000" w:themeColor="text1"/>
          <w:sz w:val="24"/>
          <w:szCs w:val="24"/>
          <w:u w:val="none"/>
        </w:rPr>
        <w:t xml:space="preserve">. </w:t>
      </w:r>
      <w:r w:rsidR="00283386" w:rsidRPr="00821A80">
        <w:rPr>
          <w:rStyle w:val="Hyperlink"/>
          <w:rFonts w:ascii="Times New Roman" w:hAnsi="Times New Roman" w:cs="Times New Roman"/>
          <w:color w:val="000000" w:themeColor="text1"/>
          <w:sz w:val="24"/>
          <w:szCs w:val="24"/>
          <w:u w:val="none"/>
        </w:rPr>
        <w:t xml:space="preserve">Para que seja possível </w:t>
      </w:r>
      <w:r w:rsidR="001B6817" w:rsidRPr="00821A80">
        <w:rPr>
          <w:rStyle w:val="Hyperlink"/>
          <w:rFonts w:ascii="Times New Roman" w:hAnsi="Times New Roman" w:cs="Times New Roman"/>
          <w:color w:val="000000" w:themeColor="text1"/>
          <w:sz w:val="24"/>
          <w:szCs w:val="24"/>
          <w:u w:val="none"/>
        </w:rPr>
        <w:t xml:space="preserve">verificar qual </w:t>
      </w:r>
      <w:r w:rsidR="0023465F" w:rsidRPr="00821A80">
        <w:rPr>
          <w:rStyle w:val="Hyperlink"/>
          <w:rFonts w:ascii="Times New Roman" w:hAnsi="Times New Roman" w:cs="Times New Roman"/>
          <w:color w:val="000000" w:themeColor="text1"/>
          <w:sz w:val="24"/>
          <w:szCs w:val="24"/>
          <w:u w:val="none"/>
        </w:rPr>
        <w:t>mesorregião</w:t>
      </w:r>
      <w:r w:rsidR="00A51AA6" w:rsidRPr="00821A80">
        <w:rPr>
          <w:rStyle w:val="Hyperlink"/>
          <w:rFonts w:ascii="Times New Roman" w:hAnsi="Times New Roman" w:cs="Times New Roman"/>
          <w:color w:val="000000" w:themeColor="text1"/>
          <w:sz w:val="24"/>
          <w:szCs w:val="24"/>
          <w:u w:val="none"/>
        </w:rPr>
        <w:t xml:space="preserve"> apr</w:t>
      </w:r>
      <w:r w:rsidR="00283386" w:rsidRPr="00821A80">
        <w:rPr>
          <w:rStyle w:val="Hyperlink"/>
          <w:rFonts w:ascii="Times New Roman" w:hAnsi="Times New Roman" w:cs="Times New Roman"/>
          <w:color w:val="000000" w:themeColor="text1"/>
          <w:sz w:val="24"/>
          <w:szCs w:val="24"/>
          <w:u w:val="none"/>
        </w:rPr>
        <w:t>esenta maior</w:t>
      </w:r>
      <w:r w:rsidR="001B6817" w:rsidRPr="00821A80">
        <w:rPr>
          <w:rStyle w:val="Hyperlink"/>
          <w:rFonts w:ascii="Times New Roman" w:hAnsi="Times New Roman" w:cs="Times New Roman"/>
          <w:color w:val="000000" w:themeColor="text1"/>
          <w:sz w:val="24"/>
          <w:szCs w:val="24"/>
          <w:u w:val="none"/>
        </w:rPr>
        <w:t xml:space="preserve"> desigualdade, </w:t>
      </w:r>
      <w:r w:rsidR="00283386" w:rsidRPr="00821A80">
        <w:rPr>
          <w:rStyle w:val="Hyperlink"/>
          <w:rFonts w:ascii="Times New Roman" w:hAnsi="Times New Roman" w:cs="Times New Roman"/>
          <w:color w:val="000000" w:themeColor="text1"/>
          <w:sz w:val="24"/>
          <w:szCs w:val="24"/>
          <w:u w:val="none"/>
        </w:rPr>
        <w:t xml:space="preserve">além de verificar </w:t>
      </w:r>
      <w:r w:rsidR="001B6817" w:rsidRPr="00821A80">
        <w:rPr>
          <w:rStyle w:val="Hyperlink"/>
          <w:rFonts w:ascii="Times New Roman" w:hAnsi="Times New Roman" w:cs="Times New Roman"/>
          <w:color w:val="000000" w:themeColor="text1"/>
          <w:sz w:val="24"/>
          <w:szCs w:val="24"/>
          <w:u w:val="none"/>
        </w:rPr>
        <w:t>em qual microrregião as disparidades são maiores</w:t>
      </w:r>
      <w:r w:rsidR="00A51AA6" w:rsidRPr="00821A80">
        <w:rPr>
          <w:rStyle w:val="Hyperlink"/>
          <w:rFonts w:ascii="Times New Roman" w:hAnsi="Times New Roman" w:cs="Times New Roman"/>
          <w:color w:val="000000" w:themeColor="text1"/>
          <w:sz w:val="24"/>
          <w:szCs w:val="24"/>
          <w:u w:val="none"/>
        </w:rPr>
        <w:t>. Podendo assim responder se a d</w:t>
      </w:r>
      <w:r w:rsidR="001B6817" w:rsidRPr="00821A80">
        <w:rPr>
          <w:rStyle w:val="Hyperlink"/>
          <w:rFonts w:ascii="Times New Roman" w:hAnsi="Times New Roman" w:cs="Times New Roman"/>
          <w:color w:val="000000" w:themeColor="text1"/>
          <w:sz w:val="24"/>
          <w:szCs w:val="24"/>
          <w:u w:val="none"/>
        </w:rPr>
        <w:t xml:space="preserve">esigualdade existente em </w:t>
      </w:r>
      <w:r w:rsidR="001B6817" w:rsidRPr="00821A80">
        <w:rPr>
          <w:rStyle w:val="Hyperlink"/>
          <w:rFonts w:ascii="Times New Roman" w:hAnsi="Times New Roman" w:cs="Times New Roman"/>
          <w:color w:val="000000" w:themeColor="text1"/>
          <w:sz w:val="24"/>
          <w:szCs w:val="24"/>
          <w:u w:val="none"/>
        </w:rPr>
        <w:lastRenderedPageBreak/>
        <w:t>Pernambuco se dá pela renda</w:t>
      </w:r>
      <w:r w:rsidR="00821A80">
        <w:rPr>
          <w:rStyle w:val="Hyperlink"/>
          <w:rFonts w:ascii="Times New Roman" w:hAnsi="Times New Roman" w:cs="Times New Roman"/>
          <w:color w:val="000000" w:themeColor="text1"/>
          <w:sz w:val="24"/>
          <w:szCs w:val="24"/>
          <w:u w:val="none"/>
        </w:rPr>
        <w:t xml:space="preserve"> média dos trabalhadores</w:t>
      </w:r>
      <w:r w:rsidR="0093072E">
        <w:rPr>
          <w:rStyle w:val="Hyperlink"/>
          <w:rFonts w:ascii="Times New Roman" w:hAnsi="Times New Roman" w:cs="Times New Roman"/>
          <w:color w:val="000000" w:themeColor="text1"/>
          <w:sz w:val="24"/>
          <w:szCs w:val="24"/>
          <w:u w:val="none"/>
        </w:rPr>
        <w:t>,</w:t>
      </w:r>
      <w:r w:rsidR="00821A80">
        <w:rPr>
          <w:rStyle w:val="Hyperlink"/>
          <w:rFonts w:ascii="Times New Roman" w:hAnsi="Times New Roman" w:cs="Times New Roman"/>
          <w:color w:val="000000" w:themeColor="text1"/>
          <w:sz w:val="24"/>
          <w:szCs w:val="24"/>
          <w:u w:val="none"/>
        </w:rPr>
        <w:t xml:space="preserve"> </w:t>
      </w:r>
      <w:r w:rsidR="001B6817" w:rsidRPr="00821A80">
        <w:rPr>
          <w:rStyle w:val="Hyperlink"/>
          <w:rFonts w:ascii="Times New Roman" w:hAnsi="Times New Roman" w:cs="Times New Roman"/>
          <w:color w:val="000000" w:themeColor="text1"/>
          <w:sz w:val="24"/>
          <w:szCs w:val="24"/>
          <w:u w:val="none"/>
        </w:rPr>
        <w:t>ou pela desigualdade econômica do estado.</w:t>
      </w:r>
      <w:r w:rsidR="001B6817" w:rsidRPr="00A51AA6">
        <w:rPr>
          <w:rStyle w:val="Hyperlink"/>
          <w:rFonts w:ascii="Times New Roman" w:hAnsi="Times New Roman" w:cs="Times New Roman"/>
          <w:color w:val="000000" w:themeColor="text1"/>
          <w:sz w:val="24"/>
          <w:szCs w:val="24"/>
          <w:u w:val="none"/>
        </w:rPr>
        <w:t xml:space="preserve"> </w:t>
      </w:r>
    </w:p>
    <w:p w:rsidR="00A61910" w:rsidRDefault="002F2AA7" w:rsidP="00AC64F5">
      <w:pPr>
        <w:spacing w:after="0"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O trabalho foi estruturado em seis seções, contadas com essa introdução. Na segunda seção, têm-se uma descrição da economia pernambucana</w:t>
      </w:r>
      <w:r w:rsidR="00B8761F">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xml:space="preserve"> </w:t>
      </w:r>
      <w:r w:rsidR="00B8761F">
        <w:rPr>
          <w:rStyle w:val="Hyperlink"/>
          <w:rFonts w:ascii="Times New Roman" w:hAnsi="Times New Roman" w:cs="Times New Roman"/>
          <w:color w:val="000000" w:themeColor="text1"/>
          <w:sz w:val="24"/>
          <w:szCs w:val="24"/>
          <w:u w:val="none"/>
        </w:rPr>
        <w:t xml:space="preserve">A terceira seção é composta pelo referencial teórico, o qual apresenta alguns dos artigos que abordaram os determinantes da desigualdade de renda a partir do Theil-T. </w:t>
      </w:r>
      <w:r>
        <w:rPr>
          <w:rStyle w:val="Hyperlink"/>
          <w:rFonts w:ascii="Times New Roman" w:hAnsi="Times New Roman" w:cs="Times New Roman"/>
          <w:color w:val="000000" w:themeColor="text1"/>
          <w:sz w:val="24"/>
          <w:szCs w:val="24"/>
          <w:u w:val="none"/>
        </w:rPr>
        <w:t>Na quarta seção, é descrito o método de análise, a área de abrangência e a fonte dos dados utilizados.</w:t>
      </w:r>
      <w:r w:rsidR="00EF1684">
        <w:rPr>
          <w:rStyle w:val="Hyperlink"/>
          <w:rFonts w:ascii="Times New Roman" w:hAnsi="Times New Roman" w:cs="Times New Roman"/>
          <w:color w:val="000000" w:themeColor="text1"/>
          <w:sz w:val="24"/>
          <w:szCs w:val="24"/>
          <w:u w:val="none"/>
        </w:rPr>
        <w:t xml:space="preserve"> </w:t>
      </w:r>
      <w:r w:rsidR="00AB64F9">
        <w:rPr>
          <w:rStyle w:val="Hyperlink"/>
          <w:rFonts w:ascii="Times New Roman" w:hAnsi="Times New Roman" w:cs="Times New Roman"/>
          <w:color w:val="000000" w:themeColor="text1"/>
          <w:sz w:val="24"/>
          <w:szCs w:val="24"/>
          <w:u w:val="none"/>
        </w:rPr>
        <w:t>Na quinta seção são discutidos os resultados decorrentes da decomposição do índice proposto a Pernambuco, seguida da seção de considerações finais.</w:t>
      </w:r>
    </w:p>
    <w:p w:rsidR="00A61910" w:rsidRDefault="00A61910" w:rsidP="00A61910">
      <w:pPr>
        <w:spacing w:after="0" w:line="240" w:lineRule="auto"/>
        <w:rPr>
          <w:rStyle w:val="Hyperlink"/>
          <w:rFonts w:ascii="Times New Roman" w:hAnsi="Times New Roman" w:cs="Times New Roman"/>
          <w:b/>
          <w:color w:val="000000" w:themeColor="text1"/>
          <w:sz w:val="24"/>
          <w:szCs w:val="24"/>
          <w:u w:val="none"/>
        </w:rPr>
      </w:pPr>
    </w:p>
    <w:p w:rsidR="001B6817" w:rsidRPr="001B6817" w:rsidRDefault="00643B9D" w:rsidP="00A61910">
      <w:pPr>
        <w:spacing w:after="0" w:line="240" w:lineRule="auto"/>
        <w:rPr>
          <w:rStyle w:val="Hyperlink"/>
          <w:rFonts w:ascii="Times New Roman" w:hAnsi="Times New Roman" w:cs="Times New Roman"/>
          <w:b/>
          <w:color w:val="000000" w:themeColor="text1"/>
          <w:sz w:val="24"/>
          <w:szCs w:val="24"/>
          <w:u w:val="none"/>
        </w:rPr>
      </w:pPr>
      <w:r w:rsidRPr="001B6817">
        <w:rPr>
          <w:rStyle w:val="Hyperlink"/>
          <w:rFonts w:ascii="Times New Roman" w:hAnsi="Times New Roman" w:cs="Times New Roman"/>
          <w:b/>
          <w:color w:val="000000" w:themeColor="text1"/>
          <w:sz w:val="24"/>
          <w:szCs w:val="24"/>
          <w:u w:val="none"/>
        </w:rPr>
        <w:t xml:space="preserve">2  </w:t>
      </w:r>
      <w:r>
        <w:rPr>
          <w:rStyle w:val="Hyperlink"/>
          <w:rFonts w:ascii="Times New Roman" w:hAnsi="Times New Roman" w:cs="Times New Roman"/>
          <w:b/>
          <w:color w:val="000000" w:themeColor="text1"/>
          <w:sz w:val="24"/>
          <w:szCs w:val="24"/>
          <w:u w:val="none"/>
        </w:rPr>
        <w:t>NOTAS SOBRE</w:t>
      </w:r>
      <w:r w:rsidR="00DF7A2B">
        <w:rPr>
          <w:rStyle w:val="Hyperlink"/>
          <w:rFonts w:ascii="Times New Roman" w:hAnsi="Times New Roman" w:cs="Times New Roman"/>
          <w:b/>
          <w:color w:val="000000" w:themeColor="text1"/>
          <w:sz w:val="24"/>
          <w:szCs w:val="24"/>
          <w:u w:val="none"/>
        </w:rPr>
        <w:t xml:space="preserve"> A ECONOMIA </w:t>
      </w:r>
      <w:r w:rsidR="00AA1A9C">
        <w:rPr>
          <w:rStyle w:val="Hyperlink"/>
          <w:rFonts w:ascii="Times New Roman" w:hAnsi="Times New Roman" w:cs="Times New Roman"/>
          <w:b/>
          <w:color w:val="000000" w:themeColor="text1"/>
          <w:sz w:val="24"/>
          <w:szCs w:val="24"/>
          <w:u w:val="none"/>
        </w:rPr>
        <w:t>PERNAM</w:t>
      </w:r>
      <w:r w:rsidR="00E234ED">
        <w:rPr>
          <w:rStyle w:val="Hyperlink"/>
          <w:rFonts w:ascii="Times New Roman" w:hAnsi="Times New Roman" w:cs="Times New Roman"/>
          <w:b/>
          <w:color w:val="000000" w:themeColor="text1"/>
          <w:sz w:val="24"/>
          <w:szCs w:val="24"/>
          <w:u w:val="none"/>
        </w:rPr>
        <w:t>B</w:t>
      </w:r>
      <w:r w:rsidR="00AA1A9C">
        <w:rPr>
          <w:rStyle w:val="Hyperlink"/>
          <w:rFonts w:ascii="Times New Roman" w:hAnsi="Times New Roman" w:cs="Times New Roman"/>
          <w:b/>
          <w:color w:val="000000" w:themeColor="text1"/>
          <w:sz w:val="24"/>
          <w:szCs w:val="24"/>
          <w:u w:val="none"/>
        </w:rPr>
        <w:t>UCANA</w:t>
      </w:r>
    </w:p>
    <w:p w:rsidR="00B84B17" w:rsidRDefault="00B84B17"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1B6817" w:rsidRDefault="001B6817" w:rsidP="00220C19">
      <w:pPr>
        <w:spacing w:line="240" w:lineRule="auto"/>
        <w:ind w:firstLine="709"/>
        <w:jc w:val="both"/>
        <w:rPr>
          <w:rStyle w:val="Hyperlink"/>
          <w:rFonts w:ascii="Times New Roman" w:hAnsi="Times New Roman" w:cs="Times New Roman"/>
          <w:color w:val="000000" w:themeColor="text1"/>
          <w:sz w:val="24"/>
          <w:szCs w:val="24"/>
          <w:u w:val="none"/>
        </w:rPr>
      </w:pPr>
      <w:r w:rsidRPr="001B6817">
        <w:rPr>
          <w:rStyle w:val="Hyperlink"/>
          <w:rFonts w:ascii="Times New Roman" w:hAnsi="Times New Roman" w:cs="Times New Roman"/>
          <w:color w:val="000000" w:themeColor="text1"/>
          <w:sz w:val="24"/>
          <w:szCs w:val="24"/>
          <w:u w:val="none"/>
        </w:rPr>
        <w:t xml:space="preserve">Nos estudos </w:t>
      </w:r>
      <w:r w:rsidR="005444D9">
        <w:rPr>
          <w:rStyle w:val="Hyperlink"/>
          <w:rFonts w:ascii="Times New Roman" w:hAnsi="Times New Roman" w:cs="Times New Roman"/>
          <w:color w:val="000000" w:themeColor="text1"/>
          <w:sz w:val="24"/>
          <w:szCs w:val="24"/>
          <w:u w:val="none"/>
        </w:rPr>
        <w:t>realizados para</w:t>
      </w:r>
      <w:r w:rsidRPr="001B6817">
        <w:rPr>
          <w:rStyle w:val="Hyperlink"/>
          <w:rFonts w:ascii="Times New Roman" w:hAnsi="Times New Roman" w:cs="Times New Roman"/>
          <w:color w:val="000000" w:themeColor="text1"/>
          <w:sz w:val="24"/>
          <w:szCs w:val="24"/>
          <w:u w:val="none"/>
        </w:rPr>
        <w:t xml:space="preserve"> o Nordeste</w:t>
      </w:r>
      <w:r w:rsidR="00597538">
        <w:rPr>
          <w:rStyle w:val="Hyperlink"/>
          <w:rFonts w:ascii="Times New Roman" w:hAnsi="Times New Roman" w:cs="Times New Roman"/>
          <w:color w:val="000000" w:themeColor="text1"/>
          <w:sz w:val="24"/>
          <w:szCs w:val="24"/>
          <w:u w:val="none"/>
        </w:rPr>
        <w:t xml:space="preserve">, </w:t>
      </w:r>
      <w:r w:rsidR="005444D9">
        <w:rPr>
          <w:rStyle w:val="Hyperlink"/>
          <w:rFonts w:ascii="Times New Roman" w:hAnsi="Times New Roman" w:cs="Times New Roman"/>
          <w:color w:val="000000" w:themeColor="text1"/>
          <w:sz w:val="24"/>
          <w:szCs w:val="24"/>
          <w:u w:val="none"/>
        </w:rPr>
        <w:t>observa-se que</w:t>
      </w:r>
      <w:r w:rsidRPr="001B6817">
        <w:rPr>
          <w:rStyle w:val="Hyperlink"/>
          <w:rFonts w:ascii="Times New Roman" w:hAnsi="Times New Roman" w:cs="Times New Roman"/>
          <w:color w:val="000000" w:themeColor="text1"/>
          <w:sz w:val="24"/>
          <w:szCs w:val="24"/>
          <w:u w:val="none"/>
        </w:rPr>
        <w:t xml:space="preserve"> os piores indicadores relacionados </w:t>
      </w:r>
      <w:r w:rsidR="009D364B" w:rsidRPr="001B6817">
        <w:rPr>
          <w:rStyle w:val="Hyperlink"/>
          <w:rFonts w:ascii="Times New Roman" w:hAnsi="Times New Roman" w:cs="Times New Roman"/>
          <w:color w:val="000000" w:themeColor="text1"/>
          <w:sz w:val="24"/>
          <w:szCs w:val="24"/>
          <w:u w:val="none"/>
        </w:rPr>
        <w:t>à</w:t>
      </w:r>
      <w:r w:rsidRPr="001B6817">
        <w:rPr>
          <w:rStyle w:val="Hyperlink"/>
          <w:rFonts w:ascii="Times New Roman" w:hAnsi="Times New Roman" w:cs="Times New Roman"/>
          <w:color w:val="000000" w:themeColor="text1"/>
          <w:sz w:val="24"/>
          <w:szCs w:val="24"/>
          <w:u w:val="none"/>
        </w:rPr>
        <w:t xml:space="preserve"> pobreza e a distribuição de renda</w:t>
      </w:r>
      <w:r w:rsidR="005444D9">
        <w:rPr>
          <w:rStyle w:val="Hyperlink"/>
          <w:rFonts w:ascii="Times New Roman" w:hAnsi="Times New Roman" w:cs="Times New Roman"/>
          <w:color w:val="000000" w:themeColor="text1"/>
          <w:sz w:val="24"/>
          <w:szCs w:val="24"/>
          <w:u w:val="none"/>
        </w:rPr>
        <w:t xml:space="preserve"> </w:t>
      </w:r>
      <w:r w:rsidR="007D74C3">
        <w:rPr>
          <w:rStyle w:val="Hyperlink"/>
          <w:rFonts w:ascii="Times New Roman" w:hAnsi="Times New Roman" w:cs="Times New Roman"/>
          <w:color w:val="000000" w:themeColor="text1"/>
          <w:sz w:val="24"/>
          <w:szCs w:val="24"/>
          <w:u w:val="none"/>
        </w:rPr>
        <w:t>pertencem a essa região</w:t>
      </w:r>
      <w:r w:rsidRPr="001B6817">
        <w:rPr>
          <w:rStyle w:val="Hyperlink"/>
          <w:rFonts w:ascii="Times New Roman" w:hAnsi="Times New Roman" w:cs="Times New Roman"/>
          <w:color w:val="000000" w:themeColor="text1"/>
          <w:sz w:val="24"/>
          <w:szCs w:val="24"/>
          <w:u w:val="none"/>
        </w:rPr>
        <w:t xml:space="preserve">. Caldas e Menezes (2010), Silva e </w:t>
      </w:r>
      <w:r w:rsidR="00070D1E">
        <w:rPr>
          <w:rStyle w:val="Hyperlink"/>
          <w:rFonts w:ascii="Times New Roman" w:hAnsi="Times New Roman" w:cs="Times New Roman"/>
          <w:color w:val="000000" w:themeColor="text1"/>
          <w:sz w:val="24"/>
          <w:szCs w:val="24"/>
          <w:u w:val="none"/>
        </w:rPr>
        <w:t xml:space="preserve">Fonseca </w:t>
      </w:r>
      <w:r w:rsidRPr="001B6817">
        <w:rPr>
          <w:rStyle w:val="Hyperlink"/>
          <w:rFonts w:ascii="Times New Roman" w:hAnsi="Times New Roman" w:cs="Times New Roman"/>
          <w:color w:val="000000" w:themeColor="text1"/>
          <w:sz w:val="24"/>
          <w:szCs w:val="24"/>
          <w:u w:val="none"/>
        </w:rPr>
        <w:t xml:space="preserve">Neto (2012) e Soares (2007) entram em acordo quando abordam que o Nordeste tem a pior renda per capita, devido a fluxos migratórios do interior para as grandes cidades. </w:t>
      </w:r>
      <w:r w:rsidR="003A7D8D">
        <w:rPr>
          <w:rStyle w:val="Hyperlink"/>
          <w:rFonts w:ascii="Times New Roman" w:hAnsi="Times New Roman" w:cs="Times New Roman"/>
          <w:color w:val="000000" w:themeColor="text1"/>
          <w:sz w:val="24"/>
          <w:szCs w:val="24"/>
          <w:u w:val="none"/>
        </w:rPr>
        <w:t>Sendo que,</w:t>
      </w:r>
      <w:r w:rsidRPr="001B6817">
        <w:rPr>
          <w:rStyle w:val="Hyperlink"/>
          <w:rFonts w:ascii="Times New Roman" w:hAnsi="Times New Roman" w:cs="Times New Roman"/>
          <w:color w:val="000000" w:themeColor="text1"/>
          <w:sz w:val="24"/>
          <w:szCs w:val="24"/>
          <w:u w:val="none"/>
        </w:rPr>
        <w:t xml:space="preserve"> Soares (2007) </w:t>
      </w:r>
      <w:r w:rsidR="003A7D8D">
        <w:rPr>
          <w:rStyle w:val="Hyperlink"/>
          <w:rFonts w:ascii="Times New Roman" w:hAnsi="Times New Roman" w:cs="Times New Roman"/>
          <w:color w:val="000000" w:themeColor="text1"/>
          <w:sz w:val="24"/>
          <w:szCs w:val="24"/>
          <w:u w:val="none"/>
        </w:rPr>
        <w:t>a</w:t>
      </w:r>
      <w:r w:rsidRPr="001B6817">
        <w:rPr>
          <w:rStyle w:val="Hyperlink"/>
          <w:rFonts w:ascii="Times New Roman" w:hAnsi="Times New Roman" w:cs="Times New Roman"/>
          <w:color w:val="000000" w:themeColor="text1"/>
          <w:sz w:val="24"/>
          <w:szCs w:val="24"/>
          <w:u w:val="none"/>
        </w:rPr>
        <w:t>borda a escolaridade como principal causa das disparidades, e não os dife</w:t>
      </w:r>
      <w:r w:rsidR="009812C0">
        <w:rPr>
          <w:rStyle w:val="Hyperlink"/>
          <w:rFonts w:ascii="Times New Roman" w:hAnsi="Times New Roman" w:cs="Times New Roman"/>
          <w:color w:val="000000" w:themeColor="text1"/>
          <w:sz w:val="24"/>
          <w:szCs w:val="24"/>
          <w:u w:val="none"/>
        </w:rPr>
        <w:t>rentes níveis de remunerações. É</w:t>
      </w:r>
      <w:r w:rsidRPr="001B6817">
        <w:rPr>
          <w:rStyle w:val="Hyperlink"/>
          <w:rFonts w:ascii="Times New Roman" w:hAnsi="Times New Roman" w:cs="Times New Roman"/>
          <w:color w:val="000000" w:themeColor="text1"/>
          <w:sz w:val="24"/>
          <w:szCs w:val="24"/>
          <w:u w:val="none"/>
        </w:rPr>
        <w:t xml:space="preserve"> possível observar a redução, mas ainda elevado, do índice de Gini</w:t>
      </w:r>
      <w:r w:rsidR="00936AC5" w:rsidRPr="001B6817">
        <w:rPr>
          <w:rStyle w:val="Hyperlink"/>
          <w:rFonts w:ascii="Times New Roman" w:hAnsi="Times New Roman" w:cs="Times New Roman"/>
          <w:color w:val="000000" w:themeColor="text1"/>
          <w:sz w:val="24"/>
          <w:szCs w:val="24"/>
          <w:u w:val="none"/>
        </w:rPr>
        <w:t>, sobretudo</w:t>
      </w:r>
      <w:r w:rsidRPr="001B6817">
        <w:rPr>
          <w:rStyle w:val="Hyperlink"/>
          <w:rFonts w:ascii="Times New Roman" w:hAnsi="Times New Roman" w:cs="Times New Roman"/>
          <w:color w:val="000000" w:themeColor="text1"/>
          <w:sz w:val="24"/>
          <w:szCs w:val="24"/>
          <w:u w:val="none"/>
        </w:rPr>
        <w:t xml:space="preserve"> em Pernambuco, mostrando uma melhora no IDH municipal de 19,06% para 9,77% entre 2007 e 2012.</w:t>
      </w:r>
    </w:p>
    <w:p w:rsidR="003A7D8D" w:rsidRDefault="00ED4305" w:rsidP="003A7D8D">
      <w:pPr>
        <w:tabs>
          <w:tab w:val="left" w:pos="7088"/>
        </w:tabs>
        <w:spacing w:after="0" w:line="240" w:lineRule="auto"/>
        <w:ind w:firstLine="709"/>
        <w:jc w:val="both"/>
        <w:rPr>
          <w:rFonts w:ascii="Times New Roman" w:hAnsi="Times New Roman"/>
          <w:sz w:val="24"/>
          <w:szCs w:val="24"/>
        </w:rPr>
      </w:pPr>
      <w:r>
        <w:rPr>
          <w:rFonts w:ascii="Times New Roman" w:hAnsi="Times New Roman"/>
          <w:sz w:val="24"/>
          <w:szCs w:val="24"/>
        </w:rPr>
        <w:t>Dessa forma, e</w:t>
      </w:r>
      <w:r w:rsidR="003A7D8D">
        <w:rPr>
          <w:rFonts w:ascii="Times New Roman" w:hAnsi="Times New Roman"/>
          <w:sz w:val="24"/>
          <w:szCs w:val="24"/>
        </w:rPr>
        <w:t>m 2010 o Índice de Desenvolvimento Humano Municipal para o Estado de Pernambuco foi de 0, 673, dentre os Estados brasileiros tal classificação equivale a 19º</w:t>
      </w:r>
      <w:r>
        <w:rPr>
          <w:rFonts w:ascii="Times New Roman" w:hAnsi="Times New Roman"/>
          <w:sz w:val="24"/>
          <w:szCs w:val="24"/>
        </w:rPr>
        <w:t xml:space="preserve"> posição</w:t>
      </w:r>
      <w:r w:rsidR="003A7D8D">
        <w:rPr>
          <w:rFonts w:ascii="Times New Roman" w:hAnsi="Times New Roman"/>
          <w:sz w:val="24"/>
          <w:szCs w:val="24"/>
        </w:rPr>
        <w:t xml:space="preserve">. A metodologia para o cálculo deste índice e de seus subíndices é o do Programa das Nações Unidas para o Desenvolvimento (PNUD). Observa-se na Tabela 1 uma estatística básica do IDHM e seus subíndices, o IDHM máximo pertence ao município de Recife (0,788), localizado na Região Metropolitana do Recife e o pior IDHM fica a cargo do município de Manari (0,487) </w:t>
      </w:r>
      <w:r w:rsidR="008B6E4A">
        <w:rPr>
          <w:rFonts w:ascii="Times New Roman" w:hAnsi="Times New Roman"/>
          <w:sz w:val="24"/>
          <w:szCs w:val="24"/>
        </w:rPr>
        <w:t xml:space="preserve">município </w:t>
      </w:r>
      <w:r w:rsidR="003A7D8D">
        <w:rPr>
          <w:rFonts w:ascii="Times New Roman" w:hAnsi="Times New Roman"/>
          <w:sz w:val="24"/>
          <w:szCs w:val="24"/>
        </w:rPr>
        <w:t xml:space="preserve">localizado no Sertão Pernambucano. </w:t>
      </w:r>
    </w:p>
    <w:p w:rsidR="003A7D8D" w:rsidRDefault="003A7D8D" w:rsidP="003A7D8D">
      <w:pPr>
        <w:tabs>
          <w:tab w:val="left" w:pos="7088"/>
        </w:tabs>
        <w:spacing w:after="0" w:line="240" w:lineRule="auto"/>
        <w:ind w:firstLine="709"/>
        <w:jc w:val="both"/>
        <w:rPr>
          <w:rFonts w:eastAsia="Times New Roman"/>
          <w:lang w:eastAsia="pt-BR"/>
        </w:rPr>
      </w:pPr>
    </w:p>
    <w:p w:rsidR="003A7D8D" w:rsidRDefault="003A7D8D" w:rsidP="003A7D8D">
      <w:pPr>
        <w:spacing w:after="0" w:line="240" w:lineRule="auto"/>
        <w:jc w:val="center"/>
        <w:rPr>
          <w:rFonts w:ascii="Times New Roman" w:hAnsi="Times New Roman"/>
          <w:sz w:val="24"/>
          <w:szCs w:val="24"/>
        </w:rPr>
      </w:pPr>
      <w:r w:rsidRPr="007B0268">
        <w:rPr>
          <w:rFonts w:ascii="Times New Roman" w:hAnsi="Times New Roman"/>
          <w:sz w:val="24"/>
          <w:szCs w:val="24"/>
        </w:rPr>
        <w:t>Tabela 1 - Valores</w:t>
      </w:r>
      <w:r w:rsidRPr="00A06B83">
        <w:rPr>
          <w:rFonts w:ascii="Times New Roman" w:hAnsi="Times New Roman"/>
          <w:sz w:val="24"/>
          <w:szCs w:val="24"/>
        </w:rPr>
        <w:t xml:space="preserve"> médios, máximos e mínimos para o IDH dos municípios pernambucanos e seus sub</w:t>
      </w:r>
      <w:r>
        <w:rPr>
          <w:rFonts w:ascii="Times New Roman" w:hAnsi="Times New Roman"/>
          <w:sz w:val="24"/>
          <w:szCs w:val="24"/>
        </w:rPr>
        <w:t>-</w:t>
      </w:r>
      <w:r w:rsidRPr="00A06B83">
        <w:rPr>
          <w:rFonts w:ascii="Times New Roman" w:hAnsi="Times New Roman"/>
          <w:sz w:val="24"/>
          <w:szCs w:val="24"/>
        </w:rPr>
        <w:t>índices segu</w:t>
      </w:r>
      <w:r>
        <w:rPr>
          <w:rFonts w:ascii="Times New Roman" w:hAnsi="Times New Roman"/>
          <w:sz w:val="24"/>
          <w:szCs w:val="24"/>
        </w:rPr>
        <w:t>ndo classificação do PNUD 2010</w:t>
      </w:r>
    </w:p>
    <w:tbl>
      <w:tblPr>
        <w:tblW w:w="0" w:type="auto"/>
        <w:jc w:val="center"/>
        <w:tblInd w:w="-841"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8"/>
        <w:gridCol w:w="1075"/>
        <w:gridCol w:w="747"/>
        <w:gridCol w:w="1012"/>
        <w:gridCol w:w="1049"/>
        <w:gridCol w:w="1309"/>
        <w:gridCol w:w="1374"/>
        <w:gridCol w:w="1374"/>
      </w:tblGrid>
      <w:tr w:rsidR="003A7D8D" w:rsidRPr="00055785" w:rsidTr="00CF2BAE">
        <w:trPr>
          <w:trHeight w:hRule="exact" w:val="305"/>
          <w:jc w:val="center"/>
        </w:trPr>
        <w:tc>
          <w:tcPr>
            <w:tcW w:w="1058" w:type="dxa"/>
            <w:vMerge w:val="restart"/>
            <w:tcBorders>
              <w:top w:val="single" w:sz="4" w:space="0" w:color="auto"/>
              <w:bottom w:val="nil"/>
              <w:right w:val="nil"/>
            </w:tcBorders>
            <w:shd w:val="clear" w:color="auto" w:fill="auto"/>
            <w:vAlign w:val="center"/>
          </w:tcPr>
          <w:p w:rsidR="003A7D8D" w:rsidRPr="00055785" w:rsidRDefault="003A7D8D" w:rsidP="00CF2BAE">
            <w:pPr>
              <w:rPr>
                <w:rFonts w:ascii="Times New Roman" w:hAnsi="Times New Roman"/>
                <w:b/>
                <w:sz w:val="20"/>
                <w:szCs w:val="20"/>
              </w:rPr>
            </w:pPr>
            <w:r w:rsidRPr="00055785">
              <w:rPr>
                <w:rFonts w:ascii="Times New Roman" w:hAnsi="Times New Roman"/>
                <w:b/>
                <w:sz w:val="20"/>
                <w:szCs w:val="20"/>
              </w:rPr>
              <w:t>Variáveis</w:t>
            </w:r>
          </w:p>
        </w:tc>
        <w:tc>
          <w:tcPr>
            <w:tcW w:w="1075" w:type="dxa"/>
            <w:vMerge w:val="restart"/>
            <w:tcBorders>
              <w:top w:val="single" w:sz="4" w:space="0" w:color="auto"/>
              <w:left w:val="nil"/>
              <w:bottom w:val="nil"/>
              <w:right w:val="nil"/>
            </w:tcBorders>
            <w:shd w:val="clear" w:color="auto" w:fill="auto"/>
            <w:vAlign w:val="center"/>
          </w:tcPr>
          <w:p w:rsidR="003A7D8D" w:rsidRPr="00055785" w:rsidRDefault="003A7D8D" w:rsidP="00CF2BAE">
            <w:pPr>
              <w:jc w:val="center"/>
              <w:rPr>
                <w:rFonts w:ascii="Times New Roman" w:hAnsi="Times New Roman"/>
                <w:b/>
                <w:sz w:val="20"/>
                <w:szCs w:val="20"/>
              </w:rPr>
            </w:pPr>
            <w:r w:rsidRPr="00055785">
              <w:rPr>
                <w:rFonts w:ascii="Times New Roman" w:hAnsi="Times New Roman"/>
                <w:b/>
                <w:sz w:val="20"/>
                <w:szCs w:val="20"/>
              </w:rPr>
              <w:t>Estatística</w:t>
            </w:r>
          </w:p>
        </w:tc>
        <w:tc>
          <w:tcPr>
            <w:tcW w:w="6865" w:type="dxa"/>
            <w:gridSpan w:val="6"/>
            <w:tcBorders>
              <w:top w:val="single" w:sz="4" w:space="0" w:color="auto"/>
              <w:left w:val="nil"/>
              <w:bottom w:val="nil"/>
            </w:tcBorders>
            <w:shd w:val="clear" w:color="auto" w:fill="auto"/>
            <w:vAlign w:val="center"/>
          </w:tcPr>
          <w:p w:rsidR="003A7D8D" w:rsidRPr="00055785" w:rsidRDefault="003A7D8D" w:rsidP="004B1B70">
            <w:pPr>
              <w:spacing w:after="0"/>
              <w:jc w:val="center"/>
              <w:rPr>
                <w:rFonts w:ascii="Times New Roman" w:hAnsi="Times New Roman"/>
                <w:b/>
                <w:sz w:val="20"/>
                <w:szCs w:val="20"/>
              </w:rPr>
            </w:pPr>
            <w:r w:rsidRPr="00055785">
              <w:rPr>
                <w:rFonts w:ascii="Times New Roman" w:hAnsi="Times New Roman"/>
                <w:b/>
                <w:sz w:val="20"/>
                <w:szCs w:val="20"/>
              </w:rPr>
              <w:t>IDH</w:t>
            </w:r>
          </w:p>
        </w:tc>
      </w:tr>
      <w:tr w:rsidR="003A7D8D" w:rsidRPr="00055785" w:rsidTr="00CF2BAE">
        <w:trPr>
          <w:trHeight w:val="314"/>
          <w:jc w:val="center"/>
        </w:trPr>
        <w:tc>
          <w:tcPr>
            <w:tcW w:w="1058" w:type="dxa"/>
            <w:vMerge/>
            <w:tcBorders>
              <w:top w:val="nil"/>
              <w:bottom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p>
        </w:tc>
        <w:tc>
          <w:tcPr>
            <w:tcW w:w="1075" w:type="dxa"/>
            <w:vMerge/>
            <w:tcBorders>
              <w:top w:val="nil"/>
              <w:left w:val="nil"/>
              <w:bottom w:val="single" w:sz="2" w:space="0" w:color="auto"/>
              <w:right w:val="nil"/>
            </w:tcBorders>
            <w:shd w:val="clear" w:color="auto" w:fill="auto"/>
            <w:vAlign w:val="bottom"/>
          </w:tcPr>
          <w:p w:rsidR="003A7D8D" w:rsidRPr="00055785" w:rsidRDefault="003A7D8D" w:rsidP="00CF2BAE">
            <w:pPr>
              <w:spacing w:after="0"/>
              <w:rPr>
                <w:rFonts w:ascii="Times New Roman" w:hAnsi="Times New Roman"/>
                <w:b/>
                <w:sz w:val="20"/>
                <w:szCs w:val="20"/>
              </w:rPr>
            </w:pPr>
          </w:p>
        </w:tc>
        <w:tc>
          <w:tcPr>
            <w:tcW w:w="747" w:type="dxa"/>
            <w:tcBorders>
              <w:top w:val="single" w:sz="2" w:space="0" w:color="auto"/>
              <w:left w:val="nil"/>
              <w:bottom w:val="single" w:sz="2" w:space="0" w:color="auto"/>
              <w:right w:val="nil"/>
            </w:tcBorders>
            <w:shd w:val="clear" w:color="auto" w:fill="auto"/>
            <w:vAlign w:val="center"/>
          </w:tcPr>
          <w:p w:rsidR="003A7D8D" w:rsidRPr="00055785" w:rsidRDefault="003A7D8D" w:rsidP="00CF2BAE">
            <w:pPr>
              <w:spacing w:after="0" w:line="240" w:lineRule="auto"/>
              <w:jc w:val="center"/>
              <w:rPr>
                <w:rFonts w:ascii="Times New Roman" w:hAnsi="Times New Roman"/>
                <w:b/>
                <w:sz w:val="20"/>
                <w:szCs w:val="20"/>
              </w:rPr>
            </w:pPr>
            <w:r>
              <w:rPr>
                <w:rFonts w:ascii="Times New Roman" w:hAnsi="Times New Roman"/>
                <w:b/>
                <w:sz w:val="20"/>
                <w:szCs w:val="20"/>
              </w:rPr>
              <w:t>Sertão</w:t>
            </w:r>
          </w:p>
        </w:tc>
        <w:tc>
          <w:tcPr>
            <w:tcW w:w="1012" w:type="dxa"/>
            <w:tcBorders>
              <w:top w:val="single" w:sz="2" w:space="0" w:color="auto"/>
              <w:left w:val="nil"/>
              <w:bottom w:val="single" w:sz="2" w:space="0" w:color="auto"/>
              <w:right w:val="nil"/>
            </w:tcBorders>
            <w:shd w:val="clear" w:color="auto" w:fill="auto"/>
            <w:vAlign w:val="center"/>
          </w:tcPr>
          <w:p w:rsidR="003A7D8D" w:rsidRPr="00055785" w:rsidRDefault="003A7D8D" w:rsidP="00CF2BAE">
            <w:pPr>
              <w:spacing w:after="0" w:line="240" w:lineRule="auto"/>
              <w:jc w:val="center"/>
              <w:rPr>
                <w:rFonts w:ascii="Times New Roman" w:hAnsi="Times New Roman"/>
                <w:b/>
                <w:sz w:val="20"/>
                <w:szCs w:val="20"/>
              </w:rPr>
            </w:pPr>
            <w:r>
              <w:rPr>
                <w:rFonts w:ascii="Times New Roman" w:hAnsi="Times New Roman"/>
                <w:b/>
                <w:sz w:val="20"/>
                <w:szCs w:val="20"/>
              </w:rPr>
              <w:t>São Francisco</w:t>
            </w:r>
          </w:p>
        </w:tc>
        <w:tc>
          <w:tcPr>
            <w:tcW w:w="1049" w:type="dxa"/>
            <w:tcBorders>
              <w:top w:val="single" w:sz="2" w:space="0" w:color="auto"/>
              <w:left w:val="nil"/>
              <w:bottom w:val="single" w:sz="2" w:space="0" w:color="auto"/>
              <w:right w:val="nil"/>
            </w:tcBorders>
            <w:shd w:val="clear" w:color="auto" w:fill="auto"/>
            <w:vAlign w:val="center"/>
          </w:tcPr>
          <w:p w:rsidR="003A7D8D" w:rsidRPr="00055785" w:rsidRDefault="003A7D8D" w:rsidP="00CF2BAE">
            <w:pPr>
              <w:spacing w:after="0" w:line="240" w:lineRule="auto"/>
              <w:jc w:val="center"/>
              <w:rPr>
                <w:rFonts w:ascii="Times New Roman" w:hAnsi="Times New Roman"/>
                <w:b/>
                <w:sz w:val="20"/>
                <w:szCs w:val="20"/>
              </w:rPr>
            </w:pPr>
            <w:r>
              <w:rPr>
                <w:rFonts w:ascii="Times New Roman" w:hAnsi="Times New Roman"/>
                <w:b/>
                <w:sz w:val="20"/>
                <w:szCs w:val="20"/>
              </w:rPr>
              <w:t>Agreste</w:t>
            </w:r>
          </w:p>
        </w:tc>
        <w:tc>
          <w:tcPr>
            <w:tcW w:w="1309" w:type="dxa"/>
            <w:tcBorders>
              <w:top w:val="single" w:sz="2" w:space="0" w:color="auto"/>
              <w:left w:val="nil"/>
              <w:bottom w:val="single" w:sz="2" w:space="0" w:color="auto"/>
              <w:right w:val="nil"/>
            </w:tcBorders>
            <w:vAlign w:val="center"/>
          </w:tcPr>
          <w:p w:rsidR="003A7D8D" w:rsidRPr="00055785" w:rsidRDefault="003A7D8D" w:rsidP="00CF2BAE">
            <w:pPr>
              <w:spacing w:after="0" w:line="240" w:lineRule="auto"/>
              <w:jc w:val="center"/>
              <w:rPr>
                <w:rFonts w:ascii="Times New Roman" w:hAnsi="Times New Roman"/>
                <w:b/>
                <w:sz w:val="20"/>
                <w:szCs w:val="20"/>
              </w:rPr>
            </w:pPr>
            <w:r>
              <w:rPr>
                <w:rFonts w:ascii="Times New Roman" w:hAnsi="Times New Roman"/>
                <w:b/>
                <w:sz w:val="20"/>
                <w:szCs w:val="20"/>
              </w:rPr>
              <w:t>Mata</w:t>
            </w:r>
          </w:p>
        </w:tc>
        <w:tc>
          <w:tcPr>
            <w:tcW w:w="1374" w:type="dxa"/>
            <w:tcBorders>
              <w:top w:val="single" w:sz="2" w:space="0" w:color="auto"/>
              <w:left w:val="nil"/>
              <w:bottom w:val="single" w:sz="2" w:space="0" w:color="auto"/>
              <w:right w:val="nil"/>
            </w:tcBorders>
            <w:vAlign w:val="center"/>
          </w:tcPr>
          <w:p w:rsidR="003A7D8D" w:rsidRPr="00055785" w:rsidRDefault="003A7D8D" w:rsidP="00CF2BAE">
            <w:pPr>
              <w:spacing w:after="0" w:line="240" w:lineRule="auto"/>
              <w:jc w:val="center"/>
              <w:rPr>
                <w:rFonts w:ascii="Times New Roman" w:hAnsi="Times New Roman"/>
                <w:b/>
                <w:sz w:val="20"/>
                <w:szCs w:val="20"/>
              </w:rPr>
            </w:pPr>
            <w:r>
              <w:rPr>
                <w:rFonts w:ascii="Times New Roman" w:hAnsi="Times New Roman"/>
                <w:b/>
                <w:sz w:val="20"/>
                <w:szCs w:val="20"/>
              </w:rPr>
              <w:t>Metropolitana</w:t>
            </w:r>
          </w:p>
        </w:tc>
        <w:tc>
          <w:tcPr>
            <w:tcW w:w="1374" w:type="dxa"/>
            <w:tcBorders>
              <w:top w:val="single" w:sz="2" w:space="0" w:color="auto"/>
              <w:left w:val="nil"/>
              <w:bottom w:val="single" w:sz="2" w:space="0" w:color="auto"/>
              <w:right w:val="nil"/>
            </w:tcBorders>
          </w:tcPr>
          <w:p w:rsidR="003A7D8D" w:rsidRDefault="003A7D8D" w:rsidP="00CF2BAE">
            <w:pPr>
              <w:spacing w:after="0" w:line="240" w:lineRule="auto"/>
              <w:jc w:val="center"/>
              <w:rPr>
                <w:rFonts w:ascii="Times New Roman" w:hAnsi="Times New Roman"/>
                <w:b/>
                <w:sz w:val="20"/>
                <w:szCs w:val="20"/>
              </w:rPr>
            </w:pPr>
            <w:r>
              <w:rPr>
                <w:rFonts w:ascii="Times New Roman" w:hAnsi="Times New Roman"/>
                <w:b/>
                <w:sz w:val="20"/>
                <w:szCs w:val="20"/>
              </w:rPr>
              <w:t>Pernambuco (média)</w:t>
            </w:r>
          </w:p>
        </w:tc>
      </w:tr>
      <w:tr w:rsidR="003A7D8D" w:rsidRPr="00055785" w:rsidTr="00CF2BAE">
        <w:trPr>
          <w:trHeight w:val="304"/>
          <w:jc w:val="center"/>
        </w:trPr>
        <w:tc>
          <w:tcPr>
            <w:tcW w:w="1058" w:type="dxa"/>
            <w:vMerge w:val="restart"/>
            <w:tcBorders>
              <w:top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IDHM</w:t>
            </w:r>
          </w:p>
        </w:tc>
        <w:tc>
          <w:tcPr>
            <w:tcW w:w="1075" w:type="dxa"/>
            <w:tcBorders>
              <w:top w:val="single" w:sz="2" w:space="0" w:color="auto"/>
              <w:left w:val="nil"/>
              <w:bottom w:val="nil"/>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Máximo</w:t>
            </w:r>
          </w:p>
        </w:tc>
        <w:tc>
          <w:tcPr>
            <w:tcW w:w="747"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0,670</w:t>
            </w:r>
          </w:p>
        </w:tc>
        <w:tc>
          <w:tcPr>
            <w:tcW w:w="1012"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0,697</w:t>
            </w:r>
          </w:p>
        </w:tc>
        <w:tc>
          <w:tcPr>
            <w:tcW w:w="1049"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0,677</w:t>
            </w:r>
          </w:p>
        </w:tc>
        <w:tc>
          <w:tcPr>
            <w:tcW w:w="1309"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0,680</w:t>
            </w:r>
          </w:p>
        </w:tc>
        <w:tc>
          <w:tcPr>
            <w:tcW w:w="1374"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Pr>
                <w:rFonts w:ascii="Times New Roman" w:hAnsi="Times New Roman"/>
                <w:sz w:val="20"/>
                <w:szCs w:val="20"/>
              </w:rPr>
              <w:t>0,788</w:t>
            </w:r>
          </w:p>
        </w:tc>
        <w:tc>
          <w:tcPr>
            <w:tcW w:w="1374" w:type="dxa"/>
            <w:vMerge w:val="restart"/>
            <w:tcBorders>
              <w:top w:val="single" w:sz="2" w:space="0" w:color="auto"/>
              <w:left w:val="nil"/>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0,673</w:t>
            </w:r>
          </w:p>
        </w:tc>
      </w:tr>
      <w:tr w:rsidR="003A7D8D" w:rsidRPr="00055785" w:rsidTr="00CF2BAE">
        <w:trPr>
          <w:trHeight w:val="304"/>
          <w:jc w:val="center"/>
        </w:trPr>
        <w:tc>
          <w:tcPr>
            <w:tcW w:w="1058" w:type="dxa"/>
            <w:vMerge/>
            <w:tcBorders>
              <w:bottom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p>
        </w:tc>
        <w:tc>
          <w:tcPr>
            <w:tcW w:w="1075" w:type="dxa"/>
            <w:tcBorders>
              <w:top w:val="nil"/>
              <w:left w:val="nil"/>
              <w:bottom w:val="single" w:sz="2" w:space="0" w:color="auto"/>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 xml:space="preserve">Mínimo </w:t>
            </w:r>
          </w:p>
        </w:tc>
        <w:tc>
          <w:tcPr>
            <w:tcW w:w="747"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0,487</w:t>
            </w:r>
          </w:p>
        </w:tc>
        <w:tc>
          <w:tcPr>
            <w:tcW w:w="1012"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0,573</w:t>
            </w:r>
          </w:p>
        </w:tc>
        <w:tc>
          <w:tcPr>
            <w:tcW w:w="1049"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0,509</w:t>
            </w:r>
          </w:p>
        </w:tc>
        <w:tc>
          <w:tcPr>
            <w:tcW w:w="1309"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0,530</w:t>
            </w:r>
          </w:p>
        </w:tc>
        <w:tc>
          <w:tcPr>
            <w:tcW w:w="1374"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0,592</w:t>
            </w:r>
          </w:p>
        </w:tc>
        <w:tc>
          <w:tcPr>
            <w:tcW w:w="1374" w:type="dxa"/>
            <w:vMerge/>
            <w:tcBorders>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p>
        </w:tc>
      </w:tr>
      <w:tr w:rsidR="003A7D8D" w:rsidRPr="00055785" w:rsidTr="00CF2BAE">
        <w:trPr>
          <w:trHeight w:val="304"/>
          <w:jc w:val="center"/>
        </w:trPr>
        <w:tc>
          <w:tcPr>
            <w:tcW w:w="1058" w:type="dxa"/>
            <w:vMerge w:val="restart"/>
            <w:tcBorders>
              <w:top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IDHM - E</w:t>
            </w:r>
          </w:p>
        </w:tc>
        <w:tc>
          <w:tcPr>
            <w:tcW w:w="1075" w:type="dxa"/>
            <w:tcBorders>
              <w:top w:val="single" w:sz="2" w:space="0" w:color="auto"/>
              <w:left w:val="nil"/>
              <w:bottom w:val="nil"/>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Máximo</w:t>
            </w:r>
          </w:p>
        </w:tc>
        <w:tc>
          <w:tcPr>
            <w:tcW w:w="747"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0,591</w:t>
            </w:r>
          </w:p>
        </w:tc>
        <w:tc>
          <w:tcPr>
            <w:tcW w:w="1012"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0,611</w:t>
            </w:r>
          </w:p>
        </w:tc>
        <w:tc>
          <w:tcPr>
            <w:tcW w:w="1049"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0,583</w:t>
            </w:r>
          </w:p>
        </w:tc>
        <w:tc>
          <w:tcPr>
            <w:tcW w:w="1309"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0,619</w:t>
            </w:r>
          </w:p>
        </w:tc>
        <w:tc>
          <w:tcPr>
            <w:tcW w:w="1374"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Pr>
                <w:rFonts w:ascii="Times New Roman" w:hAnsi="Times New Roman"/>
                <w:sz w:val="20"/>
                <w:szCs w:val="20"/>
              </w:rPr>
              <w:t>0,703</w:t>
            </w:r>
          </w:p>
        </w:tc>
        <w:tc>
          <w:tcPr>
            <w:tcW w:w="1374" w:type="dxa"/>
            <w:vMerge w:val="restart"/>
            <w:tcBorders>
              <w:top w:val="single" w:sz="2" w:space="0" w:color="auto"/>
              <w:lef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0,574</w:t>
            </w:r>
          </w:p>
        </w:tc>
      </w:tr>
      <w:tr w:rsidR="003A7D8D" w:rsidRPr="00055785" w:rsidTr="00CF2BAE">
        <w:trPr>
          <w:trHeight w:val="304"/>
          <w:jc w:val="center"/>
        </w:trPr>
        <w:tc>
          <w:tcPr>
            <w:tcW w:w="1058" w:type="dxa"/>
            <w:vMerge/>
            <w:tcBorders>
              <w:bottom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p>
        </w:tc>
        <w:tc>
          <w:tcPr>
            <w:tcW w:w="1075" w:type="dxa"/>
            <w:tcBorders>
              <w:top w:val="nil"/>
              <w:left w:val="nil"/>
              <w:bottom w:val="single" w:sz="2" w:space="0" w:color="auto"/>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 xml:space="preserve">Mínimo </w:t>
            </w:r>
          </w:p>
        </w:tc>
        <w:tc>
          <w:tcPr>
            <w:tcW w:w="747"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0,354</w:t>
            </w:r>
          </w:p>
        </w:tc>
        <w:tc>
          <w:tcPr>
            <w:tcW w:w="1012"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0,472</w:t>
            </w:r>
          </w:p>
        </w:tc>
        <w:tc>
          <w:tcPr>
            <w:tcW w:w="1049"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0,364</w:t>
            </w:r>
          </w:p>
        </w:tc>
        <w:tc>
          <w:tcPr>
            <w:tcW w:w="1309"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0,403</w:t>
            </w:r>
          </w:p>
        </w:tc>
        <w:tc>
          <w:tcPr>
            <w:tcW w:w="1374"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0,498</w:t>
            </w:r>
          </w:p>
        </w:tc>
        <w:tc>
          <w:tcPr>
            <w:tcW w:w="1374" w:type="dxa"/>
            <w:vMerge/>
            <w:tcBorders>
              <w:left w:val="nil"/>
              <w:bottom w:val="single" w:sz="2" w:space="0" w:color="auto"/>
            </w:tcBorders>
            <w:vAlign w:val="center"/>
          </w:tcPr>
          <w:p w:rsidR="003A7D8D" w:rsidRPr="00057D4B" w:rsidRDefault="003A7D8D" w:rsidP="00CF2BAE">
            <w:pPr>
              <w:spacing w:after="0"/>
              <w:jc w:val="right"/>
              <w:rPr>
                <w:rFonts w:ascii="Times New Roman" w:hAnsi="Times New Roman"/>
                <w:sz w:val="20"/>
                <w:szCs w:val="20"/>
              </w:rPr>
            </w:pPr>
          </w:p>
        </w:tc>
      </w:tr>
      <w:tr w:rsidR="003A7D8D" w:rsidRPr="00055785" w:rsidTr="00CF2BAE">
        <w:trPr>
          <w:trHeight w:val="304"/>
          <w:jc w:val="center"/>
        </w:trPr>
        <w:tc>
          <w:tcPr>
            <w:tcW w:w="1058" w:type="dxa"/>
            <w:vMerge w:val="restart"/>
            <w:tcBorders>
              <w:top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IDHM - L</w:t>
            </w:r>
          </w:p>
        </w:tc>
        <w:tc>
          <w:tcPr>
            <w:tcW w:w="1075" w:type="dxa"/>
            <w:tcBorders>
              <w:top w:val="single" w:sz="2" w:space="0" w:color="auto"/>
              <w:left w:val="nil"/>
              <w:bottom w:val="nil"/>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Máximo</w:t>
            </w:r>
          </w:p>
        </w:tc>
        <w:tc>
          <w:tcPr>
            <w:tcW w:w="747"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Pr>
                <w:rFonts w:ascii="Times New Roman" w:hAnsi="Times New Roman"/>
                <w:sz w:val="20"/>
                <w:szCs w:val="20"/>
              </w:rPr>
              <w:t>0,817</w:t>
            </w:r>
          </w:p>
        </w:tc>
        <w:tc>
          <w:tcPr>
            <w:tcW w:w="1012"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0,799</w:t>
            </w:r>
          </w:p>
        </w:tc>
        <w:tc>
          <w:tcPr>
            <w:tcW w:w="1049"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0,807</w:t>
            </w:r>
          </w:p>
        </w:tc>
        <w:tc>
          <w:tcPr>
            <w:tcW w:w="1309"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0,809</w:t>
            </w:r>
          </w:p>
        </w:tc>
        <w:tc>
          <w:tcPr>
            <w:tcW w:w="1374"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0,8</w:t>
            </w:r>
            <w:r>
              <w:rPr>
                <w:rFonts w:ascii="Times New Roman" w:hAnsi="Times New Roman"/>
                <w:sz w:val="20"/>
                <w:szCs w:val="20"/>
              </w:rPr>
              <w:t>36</w:t>
            </w:r>
          </w:p>
        </w:tc>
        <w:tc>
          <w:tcPr>
            <w:tcW w:w="1374" w:type="dxa"/>
            <w:vMerge w:val="restart"/>
            <w:tcBorders>
              <w:top w:val="single" w:sz="2" w:space="0" w:color="auto"/>
              <w:lef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0,789</w:t>
            </w:r>
          </w:p>
        </w:tc>
      </w:tr>
      <w:tr w:rsidR="003A7D8D" w:rsidRPr="00055785" w:rsidTr="00CF2BAE">
        <w:trPr>
          <w:trHeight w:val="304"/>
          <w:jc w:val="center"/>
        </w:trPr>
        <w:tc>
          <w:tcPr>
            <w:tcW w:w="1058" w:type="dxa"/>
            <w:vMerge/>
            <w:tcBorders>
              <w:bottom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p>
        </w:tc>
        <w:tc>
          <w:tcPr>
            <w:tcW w:w="1075" w:type="dxa"/>
            <w:tcBorders>
              <w:top w:val="nil"/>
              <w:left w:val="nil"/>
              <w:bottom w:val="single" w:sz="2" w:space="0" w:color="auto"/>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 xml:space="preserve">Mínimo </w:t>
            </w:r>
          </w:p>
        </w:tc>
        <w:tc>
          <w:tcPr>
            <w:tcW w:w="747"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0,681</w:t>
            </w:r>
          </w:p>
        </w:tc>
        <w:tc>
          <w:tcPr>
            <w:tcW w:w="1012"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0,705</w:t>
            </w:r>
          </w:p>
        </w:tc>
        <w:tc>
          <w:tcPr>
            <w:tcW w:w="1049"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0,677</w:t>
            </w:r>
          </w:p>
        </w:tc>
        <w:tc>
          <w:tcPr>
            <w:tcW w:w="1309"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0,676</w:t>
            </w:r>
          </w:p>
        </w:tc>
        <w:tc>
          <w:tcPr>
            <w:tcW w:w="1374"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0,764</w:t>
            </w:r>
          </w:p>
        </w:tc>
        <w:tc>
          <w:tcPr>
            <w:tcW w:w="1374" w:type="dxa"/>
            <w:vMerge/>
            <w:tcBorders>
              <w:left w:val="nil"/>
              <w:bottom w:val="single" w:sz="2" w:space="0" w:color="auto"/>
            </w:tcBorders>
            <w:vAlign w:val="center"/>
          </w:tcPr>
          <w:p w:rsidR="003A7D8D" w:rsidRPr="00057D4B" w:rsidRDefault="003A7D8D" w:rsidP="00CF2BAE">
            <w:pPr>
              <w:spacing w:after="0"/>
              <w:jc w:val="right"/>
              <w:rPr>
                <w:rFonts w:ascii="Times New Roman" w:hAnsi="Times New Roman"/>
                <w:sz w:val="20"/>
                <w:szCs w:val="20"/>
              </w:rPr>
            </w:pPr>
          </w:p>
        </w:tc>
      </w:tr>
      <w:tr w:rsidR="003A7D8D" w:rsidRPr="00055785" w:rsidTr="00CF2BAE">
        <w:trPr>
          <w:trHeight w:val="304"/>
          <w:jc w:val="center"/>
        </w:trPr>
        <w:tc>
          <w:tcPr>
            <w:tcW w:w="1058" w:type="dxa"/>
            <w:vMerge w:val="restart"/>
            <w:tcBorders>
              <w:top w:val="single" w:sz="2" w:space="0" w:color="auto"/>
              <w:right w:val="nil"/>
            </w:tcBorders>
            <w:shd w:val="clear" w:color="auto" w:fill="auto"/>
            <w:vAlign w:val="center"/>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IDHM - R</w:t>
            </w:r>
          </w:p>
        </w:tc>
        <w:tc>
          <w:tcPr>
            <w:tcW w:w="1075" w:type="dxa"/>
            <w:tcBorders>
              <w:top w:val="single" w:sz="2" w:space="0" w:color="auto"/>
              <w:left w:val="nil"/>
              <w:bottom w:val="nil"/>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Máximo</w:t>
            </w:r>
          </w:p>
        </w:tc>
        <w:tc>
          <w:tcPr>
            <w:tcW w:w="747"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0,654</w:t>
            </w:r>
          </w:p>
        </w:tc>
        <w:tc>
          <w:tcPr>
            <w:tcW w:w="1012"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0,695</w:t>
            </w:r>
          </w:p>
        </w:tc>
        <w:tc>
          <w:tcPr>
            <w:tcW w:w="1049" w:type="dxa"/>
            <w:tcBorders>
              <w:top w:val="single" w:sz="2" w:space="0" w:color="auto"/>
              <w:left w:val="nil"/>
              <w:bottom w:val="nil"/>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0,681</w:t>
            </w:r>
          </w:p>
        </w:tc>
        <w:tc>
          <w:tcPr>
            <w:tcW w:w="1309" w:type="dxa"/>
            <w:tcBorders>
              <w:top w:val="single" w:sz="2" w:space="0" w:color="auto"/>
              <w:left w:val="nil"/>
              <w:bottom w:val="nil"/>
              <w:right w:val="nil"/>
            </w:tcBorders>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0,630</w:t>
            </w:r>
          </w:p>
        </w:tc>
        <w:tc>
          <w:tcPr>
            <w:tcW w:w="1374" w:type="dxa"/>
            <w:tcBorders>
              <w:top w:val="single" w:sz="2" w:space="0" w:color="auto"/>
              <w:left w:val="nil"/>
              <w:bottom w:val="nil"/>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0,798</w:t>
            </w:r>
          </w:p>
        </w:tc>
        <w:tc>
          <w:tcPr>
            <w:tcW w:w="1374" w:type="dxa"/>
            <w:vMerge w:val="restart"/>
            <w:tcBorders>
              <w:top w:val="single" w:sz="2" w:space="0" w:color="auto"/>
              <w:lef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0,673</w:t>
            </w:r>
          </w:p>
        </w:tc>
      </w:tr>
      <w:tr w:rsidR="003A7D8D" w:rsidRPr="00055785" w:rsidTr="00CF2BAE">
        <w:trPr>
          <w:trHeight w:val="304"/>
          <w:jc w:val="center"/>
        </w:trPr>
        <w:tc>
          <w:tcPr>
            <w:tcW w:w="1058" w:type="dxa"/>
            <w:vMerge/>
            <w:tcBorders>
              <w:bottom w:val="single" w:sz="2" w:space="0" w:color="auto"/>
              <w:right w:val="nil"/>
            </w:tcBorders>
            <w:shd w:val="clear" w:color="auto" w:fill="auto"/>
            <w:vAlign w:val="bottom"/>
          </w:tcPr>
          <w:p w:rsidR="003A7D8D" w:rsidRPr="00055785" w:rsidRDefault="003A7D8D" w:rsidP="00CF2BAE">
            <w:pPr>
              <w:spacing w:after="0"/>
              <w:rPr>
                <w:rFonts w:ascii="Times New Roman" w:hAnsi="Times New Roman"/>
                <w:b/>
                <w:sz w:val="20"/>
                <w:szCs w:val="20"/>
              </w:rPr>
            </w:pPr>
          </w:p>
        </w:tc>
        <w:tc>
          <w:tcPr>
            <w:tcW w:w="1075" w:type="dxa"/>
            <w:tcBorders>
              <w:top w:val="nil"/>
              <w:left w:val="nil"/>
              <w:bottom w:val="single" w:sz="2" w:space="0" w:color="auto"/>
              <w:right w:val="nil"/>
            </w:tcBorders>
            <w:shd w:val="clear" w:color="auto" w:fill="auto"/>
            <w:vAlign w:val="bottom"/>
          </w:tcPr>
          <w:p w:rsidR="003A7D8D" w:rsidRPr="00055785" w:rsidRDefault="003A7D8D" w:rsidP="00CF2BAE">
            <w:pPr>
              <w:spacing w:after="0"/>
              <w:rPr>
                <w:rFonts w:ascii="Times New Roman" w:hAnsi="Times New Roman"/>
                <w:b/>
                <w:sz w:val="20"/>
                <w:szCs w:val="20"/>
              </w:rPr>
            </w:pPr>
            <w:r w:rsidRPr="00055785">
              <w:rPr>
                <w:rFonts w:ascii="Times New Roman" w:hAnsi="Times New Roman"/>
                <w:b/>
                <w:sz w:val="20"/>
                <w:szCs w:val="20"/>
              </w:rPr>
              <w:t xml:space="preserve">Mínimo </w:t>
            </w:r>
          </w:p>
        </w:tc>
        <w:tc>
          <w:tcPr>
            <w:tcW w:w="747"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0,477</w:t>
            </w:r>
          </w:p>
        </w:tc>
        <w:tc>
          <w:tcPr>
            <w:tcW w:w="1012"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0,491</w:t>
            </w:r>
          </w:p>
        </w:tc>
        <w:tc>
          <w:tcPr>
            <w:tcW w:w="1049" w:type="dxa"/>
            <w:tcBorders>
              <w:top w:val="nil"/>
              <w:left w:val="nil"/>
              <w:bottom w:val="single" w:sz="2" w:space="0" w:color="auto"/>
              <w:right w:val="nil"/>
            </w:tcBorders>
            <w:shd w:val="clear" w:color="auto" w:fill="auto"/>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0,494</w:t>
            </w:r>
          </w:p>
        </w:tc>
        <w:tc>
          <w:tcPr>
            <w:tcW w:w="1309"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0,499</w:t>
            </w:r>
          </w:p>
        </w:tc>
        <w:tc>
          <w:tcPr>
            <w:tcW w:w="1374" w:type="dxa"/>
            <w:tcBorders>
              <w:top w:val="nil"/>
              <w:left w:val="nil"/>
              <w:bottom w:val="single" w:sz="2" w:space="0" w:color="auto"/>
              <w:right w:val="nil"/>
            </w:tcBorders>
            <w:vAlign w:val="center"/>
          </w:tcPr>
          <w:p w:rsidR="003A7D8D" w:rsidRPr="00057D4B" w:rsidRDefault="003A7D8D" w:rsidP="00CF2BAE">
            <w:pPr>
              <w:spacing w:after="0"/>
              <w:jc w:val="right"/>
              <w:rPr>
                <w:rFonts w:ascii="Times New Roman" w:hAnsi="Times New Roman"/>
                <w:sz w:val="20"/>
                <w:szCs w:val="20"/>
              </w:rPr>
            </w:pPr>
            <w:r w:rsidRPr="00057D4B">
              <w:rPr>
                <w:rFonts w:ascii="Times New Roman" w:hAnsi="Times New Roman"/>
                <w:sz w:val="20"/>
                <w:szCs w:val="20"/>
              </w:rPr>
              <w:t>0,544</w:t>
            </w:r>
          </w:p>
        </w:tc>
        <w:tc>
          <w:tcPr>
            <w:tcW w:w="1374" w:type="dxa"/>
            <w:vMerge/>
            <w:tcBorders>
              <w:left w:val="nil"/>
              <w:bottom w:val="single" w:sz="2" w:space="0" w:color="auto"/>
            </w:tcBorders>
            <w:vAlign w:val="center"/>
          </w:tcPr>
          <w:p w:rsidR="003A7D8D" w:rsidRPr="00055785" w:rsidRDefault="003A7D8D" w:rsidP="00CF2BAE">
            <w:pPr>
              <w:spacing w:after="0"/>
              <w:jc w:val="right"/>
              <w:rPr>
                <w:rFonts w:ascii="Times New Roman" w:hAnsi="Times New Roman"/>
                <w:b/>
                <w:sz w:val="20"/>
                <w:szCs w:val="20"/>
              </w:rPr>
            </w:pPr>
          </w:p>
        </w:tc>
      </w:tr>
    </w:tbl>
    <w:p w:rsidR="003A7D8D" w:rsidRDefault="003A7D8D" w:rsidP="003A7D8D">
      <w:pPr>
        <w:pStyle w:val="Tabela1"/>
        <w:ind w:right="639"/>
        <w:rPr>
          <w:sz w:val="20"/>
          <w:szCs w:val="20"/>
        </w:rPr>
      </w:pPr>
      <w:r w:rsidRPr="000036ED">
        <w:rPr>
          <w:b w:val="0"/>
          <w:sz w:val="20"/>
          <w:szCs w:val="20"/>
        </w:rPr>
        <w:t>Fonte: Elaboração</w:t>
      </w:r>
      <w:r>
        <w:rPr>
          <w:b w:val="0"/>
          <w:sz w:val="20"/>
          <w:szCs w:val="20"/>
        </w:rPr>
        <w:t xml:space="preserve"> do</w:t>
      </w:r>
      <w:r w:rsidRPr="00560173">
        <w:rPr>
          <w:b w:val="0"/>
          <w:sz w:val="20"/>
          <w:szCs w:val="20"/>
        </w:rPr>
        <w:t>s autor</w:t>
      </w:r>
      <w:r>
        <w:rPr>
          <w:b w:val="0"/>
          <w:sz w:val="20"/>
          <w:szCs w:val="20"/>
        </w:rPr>
        <w:t>e</w:t>
      </w:r>
      <w:r w:rsidRPr="00560173">
        <w:rPr>
          <w:b w:val="0"/>
          <w:sz w:val="20"/>
          <w:szCs w:val="20"/>
        </w:rPr>
        <w:t>s a partir dos dados do Atlas do Desenvolvimento Humano</w:t>
      </w:r>
      <w:r>
        <w:rPr>
          <w:b w:val="0"/>
          <w:sz w:val="20"/>
          <w:szCs w:val="20"/>
        </w:rPr>
        <w:t xml:space="preserve"> 2013</w:t>
      </w:r>
      <w:r w:rsidRPr="00560173">
        <w:rPr>
          <w:b w:val="0"/>
          <w:sz w:val="20"/>
          <w:szCs w:val="20"/>
        </w:rPr>
        <w:t>.</w:t>
      </w:r>
      <w:r w:rsidRPr="00055785">
        <w:rPr>
          <w:sz w:val="20"/>
          <w:szCs w:val="20"/>
        </w:rPr>
        <w:t xml:space="preserve"> </w:t>
      </w:r>
    </w:p>
    <w:p w:rsidR="003A7D8D" w:rsidRDefault="003A7D8D"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0D0DA7" w:rsidRDefault="007F491A" w:rsidP="00A61910">
      <w:pPr>
        <w:spacing w:after="0"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De acordo com Brito e Rocha (2011), os altos índices de desigualdade ocorrem em locais com alta elasticidade concentração. Ou seja, no caso de haver um crescimento econômico, esse pouco influenciará os mais pobres, </w:t>
      </w:r>
      <w:r w:rsidR="00DB0D29">
        <w:rPr>
          <w:rStyle w:val="Hyperlink"/>
          <w:rFonts w:ascii="Times New Roman" w:hAnsi="Times New Roman" w:cs="Times New Roman"/>
          <w:color w:val="000000" w:themeColor="text1"/>
          <w:sz w:val="24"/>
          <w:szCs w:val="24"/>
          <w:u w:val="none"/>
        </w:rPr>
        <w:t>dado</w:t>
      </w:r>
      <w:r>
        <w:rPr>
          <w:rStyle w:val="Hyperlink"/>
          <w:rFonts w:ascii="Times New Roman" w:hAnsi="Times New Roman" w:cs="Times New Roman"/>
          <w:color w:val="000000" w:themeColor="text1"/>
          <w:sz w:val="24"/>
          <w:szCs w:val="24"/>
          <w:u w:val="none"/>
        </w:rPr>
        <w:t xml:space="preserve"> a estrutura da distribuição de renda da região. </w:t>
      </w:r>
      <w:r w:rsidR="001B6817" w:rsidRPr="001B6817">
        <w:rPr>
          <w:rStyle w:val="Hyperlink"/>
          <w:rFonts w:ascii="Times New Roman" w:hAnsi="Times New Roman" w:cs="Times New Roman"/>
          <w:color w:val="000000" w:themeColor="text1"/>
          <w:sz w:val="24"/>
          <w:szCs w:val="24"/>
          <w:u w:val="none"/>
        </w:rPr>
        <w:t xml:space="preserve">O </w:t>
      </w:r>
      <w:r w:rsidR="00C95FFA">
        <w:rPr>
          <w:rStyle w:val="Hyperlink"/>
          <w:rFonts w:ascii="Times New Roman" w:hAnsi="Times New Roman" w:cs="Times New Roman"/>
          <w:color w:val="000000" w:themeColor="text1"/>
          <w:sz w:val="24"/>
          <w:szCs w:val="24"/>
          <w:u w:val="none"/>
        </w:rPr>
        <w:t>Q</w:t>
      </w:r>
      <w:r w:rsidR="001B6817" w:rsidRPr="001B6817">
        <w:rPr>
          <w:rStyle w:val="Hyperlink"/>
          <w:rFonts w:ascii="Times New Roman" w:hAnsi="Times New Roman" w:cs="Times New Roman"/>
          <w:color w:val="000000" w:themeColor="text1"/>
          <w:sz w:val="24"/>
          <w:szCs w:val="24"/>
          <w:u w:val="none"/>
        </w:rPr>
        <w:t xml:space="preserve">uadro 1 informa o índice de Gini pernambucano e o do Brasil. </w:t>
      </w:r>
      <w:r w:rsidR="00C95FFA">
        <w:rPr>
          <w:rStyle w:val="Hyperlink"/>
          <w:rFonts w:ascii="Times New Roman" w:hAnsi="Times New Roman" w:cs="Times New Roman"/>
          <w:color w:val="000000" w:themeColor="text1"/>
          <w:sz w:val="24"/>
          <w:szCs w:val="24"/>
          <w:u w:val="none"/>
        </w:rPr>
        <w:t>Percebe-se</w:t>
      </w:r>
      <w:r w:rsidR="001B6817" w:rsidRPr="001B6817">
        <w:rPr>
          <w:rStyle w:val="Hyperlink"/>
          <w:rFonts w:ascii="Times New Roman" w:hAnsi="Times New Roman" w:cs="Times New Roman"/>
          <w:color w:val="000000" w:themeColor="text1"/>
          <w:sz w:val="24"/>
          <w:szCs w:val="24"/>
          <w:u w:val="none"/>
        </w:rPr>
        <w:t xml:space="preserve"> que o índice de Gini pernambucano reduziu cerca de 16% de 1999/2012 e o do Brasil caiu cerca de </w:t>
      </w:r>
      <w:r w:rsidR="001B6817" w:rsidRPr="001B6817">
        <w:rPr>
          <w:rStyle w:val="Hyperlink"/>
          <w:rFonts w:ascii="Times New Roman" w:hAnsi="Times New Roman" w:cs="Times New Roman"/>
          <w:color w:val="000000" w:themeColor="text1"/>
          <w:sz w:val="24"/>
          <w:szCs w:val="24"/>
          <w:u w:val="none"/>
        </w:rPr>
        <w:lastRenderedPageBreak/>
        <w:t xml:space="preserve">11% de 1999/2012. </w:t>
      </w:r>
      <w:r w:rsidR="00C95FFA">
        <w:rPr>
          <w:rStyle w:val="Hyperlink"/>
          <w:rFonts w:ascii="Times New Roman" w:hAnsi="Times New Roman" w:cs="Times New Roman"/>
          <w:color w:val="000000" w:themeColor="text1"/>
          <w:sz w:val="24"/>
          <w:szCs w:val="24"/>
          <w:u w:val="none"/>
        </w:rPr>
        <w:t>E</w:t>
      </w:r>
      <w:r w:rsidR="001B6817" w:rsidRPr="001B6817">
        <w:rPr>
          <w:rStyle w:val="Hyperlink"/>
          <w:rFonts w:ascii="Times New Roman" w:hAnsi="Times New Roman" w:cs="Times New Roman"/>
          <w:color w:val="000000" w:themeColor="text1"/>
          <w:sz w:val="24"/>
          <w:szCs w:val="24"/>
          <w:u w:val="none"/>
        </w:rPr>
        <w:t xml:space="preserve"> que ao longo do período analisado o Gini pernambucano caiu</w:t>
      </w:r>
      <w:r w:rsidR="001B6817">
        <w:rPr>
          <w:rStyle w:val="Hyperlink"/>
          <w:rFonts w:ascii="Times New Roman" w:hAnsi="Times New Roman" w:cs="Times New Roman"/>
          <w:color w:val="000000" w:themeColor="text1"/>
          <w:sz w:val="24"/>
          <w:szCs w:val="24"/>
          <w:u w:val="none"/>
        </w:rPr>
        <w:t xml:space="preserve"> mais que o do Brasil, poré</w:t>
      </w:r>
      <w:r w:rsidR="00993C65">
        <w:rPr>
          <w:rStyle w:val="Hyperlink"/>
          <w:rFonts w:ascii="Times New Roman" w:hAnsi="Times New Roman" w:cs="Times New Roman"/>
          <w:color w:val="000000" w:themeColor="text1"/>
          <w:sz w:val="24"/>
          <w:szCs w:val="24"/>
          <w:u w:val="none"/>
        </w:rPr>
        <w:t>m isso ocorre no</w:t>
      </w:r>
      <w:r w:rsidR="001B6817" w:rsidRPr="001B6817">
        <w:rPr>
          <w:rStyle w:val="Hyperlink"/>
          <w:rFonts w:ascii="Times New Roman" w:hAnsi="Times New Roman" w:cs="Times New Roman"/>
          <w:color w:val="000000" w:themeColor="text1"/>
          <w:sz w:val="24"/>
          <w:szCs w:val="24"/>
          <w:u w:val="none"/>
        </w:rPr>
        <w:t xml:space="preserve"> período em que</w:t>
      </w:r>
      <w:r w:rsidR="00993C65">
        <w:rPr>
          <w:rStyle w:val="Hyperlink"/>
          <w:rFonts w:ascii="Times New Roman" w:hAnsi="Times New Roman" w:cs="Times New Roman"/>
          <w:color w:val="000000" w:themeColor="text1"/>
          <w:sz w:val="24"/>
          <w:szCs w:val="24"/>
          <w:u w:val="none"/>
        </w:rPr>
        <w:t>,</w:t>
      </w:r>
      <w:r w:rsidR="001B6817" w:rsidRPr="001B6817">
        <w:rPr>
          <w:rStyle w:val="Hyperlink"/>
          <w:rFonts w:ascii="Times New Roman" w:hAnsi="Times New Roman" w:cs="Times New Roman"/>
          <w:color w:val="000000" w:themeColor="text1"/>
          <w:sz w:val="24"/>
          <w:szCs w:val="24"/>
          <w:u w:val="none"/>
        </w:rPr>
        <w:t xml:space="preserve"> sempre</w:t>
      </w:r>
      <w:r w:rsidR="00993C65">
        <w:rPr>
          <w:rStyle w:val="Hyperlink"/>
          <w:rFonts w:ascii="Times New Roman" w:hAnsi="Times New Roman" w:cs="Times New Roman"/>
          <w:color w:val="000000" w:themeColor="text1"/>
          <w:sz w:val="24"/>
          <w:szCs w:val="24"/>
          <w:u w:val="none"/>
        </w:rPr>
        <w:t xml:space="preserve"> que</w:t>
      </w:r>
      <w:r w:rsidR="001B6817" w:rsidRPr="001B6817">
        <w:rPr>
          <w:rStyle w:val="Hyperlink"/>
          <w:rFonts w:ascii="Times New Roman" w:hAnsi="Times New Roman" w:cs="Times New Roman"/>
          <w:color w:val="000000" w:themeColor="text1"/>
          <w:sz w:val="24"/>
          <w:szCs w:val="24"/>
          <w:u w:val="none"/>
        </w:rPr>
        <w:t xml:space="preserve"> o Gini pernambucano cai, o do Brasil também cai, menos que proporcional ao índice pernambucano.</w:t>
      </w:r>
    </w:p>
    <w:p w:rsidR="00A61910" w:rsidRDefault="00A61910"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F83D9B" w:rsidRDefault="00F83D9B"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D30753" w:rsidRPr="00A61910" w:rsidRDefault="00707301" w:rsidP="00A61910">
      <w:pPr>
        <w:spacing w:after="0" w:line="240" w:lineRule="auto"/>
        <w:ind w:firstLine="709"/>
        <w:jc w:val="center"/>
        <w:rPr>
          <w:rStyle w:val="Hyperlink"/>
          <w:rFonts w:ascii="Times New Roman" w:hAnsi="Times New Roman" w:cs="Times New Roman"/>
          <w:color w:val="000000" w:themeColor="text1"/>
          <w:sz w:val="24"/>
          <w:szCs w:val="24"/>
          <w:u w:val="none"/>
        </w:rPr>
      </w:pPr>
      <w:r w:rsidRPr="00A61910">
        <w:rPr>
          <w:rFonts w:ascii="Times New Roman" w:eastAsia="Times New Roman" w:hAnsi="Times New Roman" w:cs="Times New Roman"/>
          <w:bCs/>
          <w:color w:val="000000"/>
          <w:sz w:val="24"/>
          <w:szCs w:val="24"/>
          <w:lang w:eastAsia="pt-BR"/>
        </w:rPr>
        <w:t>Quadro 1 - Índice de Gini</w:t>
      </w:r>
    </w:p>
    <w:tbl>
      <w:tblPr>
        <w:tblStyle w:val="Tabelacomgrade"/>
        <w:tblW w:w="0" w:type="auto"/>
        <w:jc w:val="center"/>
        <w:tblLook w:val="04A0" w:firstRow="1" w:lastRow="0" w:firstColumn="1" w:lastColumn="0" w:noHBand="0" w:noVBand="1"/>
      </w:tblPr>
      <w:tblGrid>
        <w:gridCol w:w="1668"/>
        <w:gridCol w:w="1842"/>
        <w:gridCol w:w="1906"/>
      </w:tblGrid>
      <w:tr w:rsidR="00707301" w:rsidRPr="00707301" w:rsidTr="00FE7BA1">
        <w:trPr>
          <w:jc w:val="center"/>
        </w:trPr>
        <w:tc>
          <w:tcPr>
            <w:tcW w:w="1668" w:type="dxa"/>
            <w:vAlign w:val="bottom"/>
          </w:tcPr>
          <w:p w:rsidR="00707301" w:rsidRPr="00707301" w:rsidRDefault="00707301" w:rsidP="00A61910">
            <w:pPr>
              <w:spacing w:after="0" w:line="240" w:lineRule="auto"/>
              <w:jc w:val="center"/>
              <w:rPr>
                <w:rFonts w:ascii="Times New Roman" w:eastAsia="Times New Roman" w:hAnsi="Times New Roman" w:cs="Times New Roman"/>
                <w:b/>
                <w:color w:val="000000"/>
                <w:lang w:eastAsia="pt-BR"/>
              </w:rPr>
            </w:pPr>
            <w:r w:rsidRPr="00707301">
              <w:rPr>
                <w:rFonts w:ascii="Times New Roman" w:eastAsia="Times New Roman" w:hAnsi="Times New Roman" w:cs="Times New Roman"/>
                <w:b/>
                <w:color w:val="000000"/>
                <w:lang w:eastAsia="pt-BR"/>
              </w:rPr>
              <w:t>Ano</w:t>
            </w:r>
          </w:p>
        </w:tc>
        <w:tc>
          <w:tcPr>
            <w:tcW w:w="1842" w:type="dxa"/>
            <w:vAlign w:val="bottom"/>
          </w:tcPr>
          <w:p w:rsidR="00707301" w:rsidRPr="00707301" w:rsidRDefault="00707301" w:rsidP="002D1A79">
            <w:pPr>
              <w:spacing w:after="0" w:line="240" w:lineRule="auto"/>
              <w:jc w:val="center"/>
              <w:rPr>
                <w:rFonts w:ascii="Times New Roman" w:eastAsia="Times New Roman" w:hAnsi="Times New Roman" w:cs="Times New Roman"/>
                <w:b/>
                <w:color w:val="000000"/>
                <w:lang w:eastAsia="pt-BR"/>
              </w:rPr>
            </w:pPr>
            <w:r w:rsidRPr="00707301">
              <w:rPr>
                <w:rFonts w:ascii="Times New Roman" w:eastAsia="Times New Roman" w:hAnsi="Times New Roman" w:cs="Times New Roman"/>
                <w:b/>
                <w:color w:val="000000"/>
                <w:lang w:eastAsia="pt-BR"/>
              </w:rPr>
              <w:t>Pernambuco</w:t>
            </w:r>
          </w:p>
        </w:tc>
        <w:tc>
          <w:tcPr>
            <w:tcW w:w="1906" w:type="dxa"/>
            <w:vAlign w:val="bottom"/>
          </w:tcPr>
          <w:p w:rsidR="00707301" w:rsidRPr="00707301" w:rsidRDefault="00707301" w:rsidP="002D1A79">
            <w:pPr>
              <w:spacing w:after="0" w:line="240" w:lineRule="auto"/>
              <w:jc w:val="center"/>
              <w:rPr>
                <w:rFonts w:ascii="Times New Roman" w:eastAsia="Times New Roman" w:hAnsi="Times New Roman" w:cs="Times New Roman"/>
                <w:b/>
                <w:color w:val="000000"/>
                <w:lang w:eastAsia="pt-BR"/>
              </w:rPr>
            </w:pPr>
            <w:r w:rsidRPr="00707301">
              <w:rPr>
                <w:rFonts w:ascii="Times New Roman" w:eastAsia="Times New Roman" w:hAnsi="Times New Roman" w:cs="Times New Roman"/>
                <w:b/>
                <w:color w:val="000000"/>
                <w:lang w:eastAsia="pt-BR"/>
              </w:rPr>
              <w:t>Brasil</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1999</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0,6042</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0,5927</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2000</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0,6706</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0,646</w:t>
            </w:r>
            <w:r w:rsidR="004F6BC3">
              <w:rPr>
                <w:rFonts w:ascii="Times New Roman" w:eastAsia="Times New Roman" w:hAnsi="Times New Roman" w:cs="Times New Roman"/>
                <w:color w:val="000000"/>
                <w:lang w:eastAsia="pt-BR"/>
              </w:rPr>
              <w:t>0</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2001</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0,6174</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0,5939</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2002</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0,6087</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0,5877</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2003</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0,589</w:t>
            </w:r>
            <w:r w:rsidR="004F6BC3">
              <w:rPr>
                <w:rFonts w:ascii="Times New Roman" w:eastAsia="Times New Roman" w:hAnsi="Times New Roman" w:cs="Times New Roman"/>
                <w:color w:val="000000"/>
                <w:lang w:eastAsia="pt-BR"/>
              </w:rPr>
              <w:t>0</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0,5813</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2004</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0,6066</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0,5705</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2005</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0,5858</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0,5676</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2006</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0,5804</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0,5608</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2007</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0,5586</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0,5539</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2008</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0,5641</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0,5441</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2009</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0,552</w:t>
            </w:r>
            <w:r w:rsidR="004F6BC3">
              <w:rPr>
                <w:rFonts w:ascii="Times New Roman" w:eastAsia="Times New Roman" w:hAnsi="Times New Roman" w:cs="Times New Roman"/>
                <w:color w:val="000000"/>
                <w:lang w:eastAsia="pt-BR"/>
              </w:rPr>
              <w:t>0</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0,5401</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2010</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0,6366</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0,6086</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2011</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0,5259</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0,5294</w:t>
            </w:r>
          </w:p>
        </w:tc>
      </w:tr>
      <w:tr w:rsidR="00707301" w:rsidRPr="00707301" w:rsidTr="00FE7BA1">
        <w:trPr>
          <w:jc w:val="center"/>
        </w:trPr>
        <w:tc>
          <w:tcPr>
            <w:tcW w:w="1668" w:type="dxa"/>
            <w:vAlign w:val="bottom"/>
          </w:tcPr>
          <w:p w:rsidR="00707301" w:rsidRPr="001B3648" w:rsidRDefault="00707301" w:rsidP="00FE7BA1">
            <w:pPr>
              <w:spacing w:after="0" w:line="240" w:lineRule="auto"/>
              <w:jc w:val="center"/>
              <w:rPr>
                <w:rFonts w:ascii="Times New Roman" w:eastAsia="Times New Roman" w:hAnsi="Times New Roman" w:cs="Times New Roman"/>
                <w:color w:val="000000"/>
                <w:lang w:eastAsia="pt-BR"/>
              </w:rPr>
            </w:pPr>
            <w:r w:rsidRPr="001B3648">
              <w:rPr>
                <w:rFonts w:ascii="Times New Roman" w:eastAsia="Times New Roman" w:hAnsi="Times New Roman" w:cs="Times New Roman"/>
                <w:color w:val="000000"/>
                <w:lang w:eastAsia="pt-BR"/>
              </w:rPr>
              <w:t>2012</w:t>
            </w:r>
          </w:p>
        </w:tc>
        <w:tc>
          <w:tcPr>
            <w:tcW w:w="1842"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0,507</w:t>
            </w:r>
            <w:r w:rsidR="004F6BC3">
              <w:rPr>
                <w:rFonts w:ascii="Times New Roman" w:eastAsia="Times New Roman" w:hAnsi="Times New Roman" w:cs="Times New Roman"/>
                <w:color w:val="000000"/>
                <w:lang w:eastAsia="pt-BR"/>
              </w:rPr>
              <w:t>0</w:t>
            </w:r>
          </w:p>
        </w:tc>
        <w:tc>
          <w:tcPr>
            <w:tcW w:w="1906" w:type="dxa"/>
            <w:vAlign w:val="bottom"/>
          </w:tcPr>
          <w:p w:rsidR="00707301" w:rsidRPr="00707301" w:rsidRDefault="00707301" w:rsidP="00FE7BA1">
            <w:pPr>
              <w:spacing w:after="0" w:line="240" w:lineRule="auto"/>
              <w:jc w:val="center"/>
              <w:rPr>
                <w:rFonts w:ascii="Times New Roman" w:eastAsia="Times New Roman" w:hAnsi="Times New Roman" w:cs="Times New Roman"/>
                <w:color w:val="000000"/>
                <w:lang w:eastAsia="pt-BR"/>
              </w:rPr>
            </w:pPr>
            <w:r w:rsidRPr="00707301">
              <w:rPr>
                <w:rFonts w:ascii="Times New Roman" w:eastAsia="Times New Roman" w:hAnsi="Times New Roman" w:cs="Times New Roman"/>
                <w:color w:val="000000"/>
                <w:lang w:eastAsia="pt-BR"/>
              </w:rPr>
              <w:t>0,5277</w:t>
            </w:r>
          </w:p>
        </w:tc>
      </w:tr>
    </w:tbl>
    <w:p w:rsidR="00707301" w:rsidRPr="000D0DA7" w:rsidRDefault="00707301" w:rsidP="00B84B17">
      <w:pPr>
        <w:spacing w:after="0" w:line="240" w:lineRule="auto"/>
        <w:ind w:firstLine="709"/>
        <w:jc w:val="center"/>
        <w:rPr>
          <w:rStyle w:val="Hyperlink"/>
          <w:rFonts w:ascii="Times New Roman" w:hAnsi="Times New Roman" w:cs="Times New Roman"/>
          <w:color w:val="000000" w:themeColor="text1"/>
          <w:sz w:val="20"/>
          <w:szCs w:val="20"/>
          <w:u w:val="none"/>
        </w:rPr>
      </w:pPr>
      <w:r w:rsidRPr="00445639">
        <w:rPr>
          <w:rStyle w:val="Hyperlink"/>
          <w:rFonts w:ascii="Times New Roman" w:hAnsi="Times New Roman" w:cs="Times New Roman"/>
          <w:color w:val="000000" w:themeColor="text1"/>
          <w:sz w:val="20"/>
          <w:szCs w:val="20"/>
          <w:u w:val="none"/>
        </w:rPr>
        <w:t>Fonte:</w:t>
      </w:r>
      <w:r w:rsidR="001C7D92">
        <w:rPr>
          <w:rStyle w:val="Hyperlink"/>
          <w:rFonts w:ascii="Times New Roman" w:hAnsi="Times New Roman" w:cs="Times New Roman"/>
          <w:color w:val="000000" w:themeColor="text1"/>
          <w:sz w:val="20"/>
          <w:szCs w:val="20"/>
          <w:u w:val="none"/>
        </w:rPr>
        <w:t xml:space="preserve"> Instituto Brasileiro de Geografia e Estatística</w:t>
      </w:r>
      <w:r w:rsidR="00445639">
        <w:rPr>
          <w:rStyle w:val="Hyperlink"/>
          <w:rFonts w:ascii="Times New Roman" w:hAnsi="Times New Roman" w:cs="Times New Roman"/>
          <w:color w:val="000000" w:themeColor="text1"/>
          <w:sz w:val="20"/>
          <w:szCs w:val="20"/>
          <w:u w:val="none"/>
        </w:rPr>
        <w:t xml:space="preserve"> </w:t>
      </w:r>
      <w:r w:rsidRPr="00445639">
        <w:rPr>
          <w:rStyle w:val="Hyperlink"/>
          <w:rFonts w:ascii="Times New Roman" w:hAnsi="Times New Roman" w:cs="Times New Roman"/>
          <w:color w:val="000000" w:themeColor="text1"/>
          <w:sz w:val="20"/>
          <w:szCs w:val="20"/>
          <w:u w:val="none"/>
        </w:rPr>
        <w:t>IBGE</w:t>
      </w:r>
      <w:r w:rsidRPr="000D0DA7">
        <w:rPr>
          <w:rStyle w:val="Hyperlink"/>
          <w:rFonts w:ascii="Times New Roman" w:hAnsi="Times New Roman" w:cs="Times New Roman"/>
          <w:color w:val="000000" w:themeColor="text1"/>
          <w:sz w:val="20"/>
          <w:szCs w:val="20"/>
          <w:u w:val="none"/>
        </w:rPr>
        <w:t>/Censo Demográfico 1991, 200 e 2010.</w:t>
      </w:r>
    </w:p>
    <w:p w:rsidR="00D30753" w:rsidRPr="00707301" w:rsidRDefault="00707301" w:rsidP="00B84B17">
      <w:pPr>
        <w:spacing w:after="0" w:line="240" w:lineRule="auto"/>
        <w:ind w:firstLine="709"/>
        <w:jc w:val="center"/>
        <w:rPr>
          <w:rStyle w:val="Hyperlink"/>
          <w:rFonts w:ascii="Times New Roman" w:hAnsi="Times New Roman" w:cs="Times New Roman"/>
          <w:color w:val="000000" w:themeColor="text1"/>
          <w:sz w:val="20"/>
          <w:szCs w:val="20"/>
          <w:u w:val="none"/>
        </w:rPr>
      </w:pPr>
      <w:r w:rsidRPr="000D0DA7">
        <w:rPr>
          <w:rStyle w:val="Hyperlink"/>
          <w:rFonts w:ascii="Times New Roman" w:hAnsi="Times New Roman" w:cs="Times New Roman"/>
          <w:color w:val="000000" w:themeColor="text1"/>
          <w:sz w:val="20"/>
          <w:szCs w:val="20"/>
          <w:u w:val="none"/>
        </w:rPr>
        <w:t>IBGE/PNAD 199</w:t>
      </w:r>
      <w:r w:rsidR="0025651E" w:rsidRPr="000D0DA7">
        <w:rPr>
          <w:rStyle w:val="Hyperlink"/>
          <w:rFonts w:ascii="Times New Roman" w:hAnsi="Times New Roman" w:cs="Times New Roman"/>
          <w:color w:val="000000" w:themeColor="text1"/>
          <w:sz w:val="20"/>
          <w:szCs w:val="20"/>
          <w:u w:val="none"/>
        </w:rPr>
        <w:t>9</w:t>
      </w:r>
      <w:r w:rsidRPr="000D0DA7">
        <w:rPr>
          <w:rStyle w:val="Hyperlink"/>
          <w:rFonts w:ascii="Times New Roman" w:hAnsi="Times New Roman" w:cs="Times New Roman"/>
          <w:color w:val="000000" w:themeColor="text1"/>
          <w:sz w:val="20"/>
          <w:szCs w:val="20"/>
          <w:u w:val="none"/>
        </w:rPr>
        <w:t>-2012.</w:t>
      </w:r>
    </w:p>
    <w:p w:rsidR="00B84B17" w:rsidRDefault="00B84B17"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0F1D0A" w:rsidRDefault="000F1D0A" w:rsidP="00F83D9B">
      <w:pPr>
        <w:spacing w:after="0"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O Gráfico 1 mostra a partic</w:t>
      </w:r>
      <w:r w:rsidR="00096477">
        <w:rPr>
          <w:rStyle w:val="Hyperlink"/>
          <w:rFonts w:ascii="Times New Roman" w:hAnsi="Times New Roman" w:cs="Times New Roman"/>
          <w:color w:val="000000" w:themeColor="text1"/>
          <w:sz w:val="24"/>
          <w:szCs w:val="24"/>
          <w:u w:val="none"/>
        </w:rPr>
        <w:t>ipação das mesorregiões no PIB</w:t>
      </w:r>
      <w:r>
        <w:rPr>
          <w:rStyle w:val="Hyperlink"/>
          <w:rFonts w:ascii="Times New Roman" w:hAnsi="Times New Roman" w:cs="Times New Roman"/>
          <w:color w:val="000000" w:themeColor="text1"/>
          <w:sz w:val="24"/>
          <w:szCs w:val="24"/>
          <w:u w:val="none"/>
        </w:rPr>
        <w:t xml:space="preserve">, observa-se que a Mesorregião Metropolitana, ao longo dos anos, representou cerca de 65% do produto do estado, para os anos observados, relatando a importância e a concentração desta região para o estado de Pernambuco.  </w:t>
      </w:r>
      <w:r w:rsidR="00547707">
        <w:rPr>
          <w:rStyle w:val="Hyperlink"/>
          <w:rFonts w:ascii="Times New Roman" w:hAnsi="Times New Roman" w:cs="Times New Roman"/>
          <w:color w:val="000000" w:themeColor="text1"/>
          <w:sz w:val="24"/>
          <w:szCs w:val="24"/>
          <w:u w:val="none"/>
        </w:rPr>
        <w:t xml:space="preserve">A atração de investimentos para o Complexo Portuário de Suape é um dos grandes responsáveis pelo bom desempenho econômico da mesorregião. </w:t>
      </w:r>
      <w:r w:rsidR="00696553">
        <w:rPr>
          <w:rStyle w:val="Hyperlink"/>
          <w:rFonts w:ascii="Times New Roman" w:hAnsi="Times New Roman" w:cs="Times New Roman"/>
          <w:color w:val="000000" w:themeColor="text1"/>
          <w:sz w:val="24"/>
          <w:szCs w:val="24"/>
          <w:u w:val="none"/>
        </w:rPr>
        <w:t>P</w:t>
      </w:r>
      <w:r w:rsidR="00547707">
        <w:rPr>
          <w:rStyle w:val="Hyperlink"/>
          <w:rFonts w:ascii="Times New Roman" w:hAnsi="Times New Roman" w:cs="Times New Roman"/>
          <w:color w:val="000000" w:themeColor="text1"/>
          <w:sz w:val="24"/>
          <w:szCs w:val="24"/>
          <w:u w:val="none"/>
        </w:rPr>
        <w:t>ara Lima</w:t>
      </w:r>
      <w:r w:rsidR="007805D1">
        <w:rPr>
          <w:rStyle w:val="Hyperlink"/>
          <w:rFonts w:ascii="Times New Roman" w:hAnsi="Times New Roman" w:cs="Times New Roman"/>
          <w:color w:val="000000" w:themeColor="text1"/>
          <w:sz w:val="24"/>
          <w:szCs w:val="24"/>
          <w:u w:val="none"/>
        </w:rPr>
        <w:t xml:space="preserve">, Sicsú e Padilha (2007), </w:t>
      </w:r>
      <w:r w:rsidR="00547707">
        <w:rPr>
          <w:rStyle w:val="Hyperlink"/>
          <w:rFonts w:ascii="Times New Roman" w:hAnsi="Times New Roman" w:cs="Times New Roman"/>
          <w:color w:val="000000" w:themeColor="text1"/>
          <w:sz w:val="24"/>
          <w:szCs w:val="24"/>
          <w:u w:val="none"/>
        </w:rPr>
        <w:t xml:space="preserve">também merece destaque, a consolidação de atividades terciárias de comércio atacadista, de serviços de saúde e de informática localizados na Região Metropolitana de Recife. </w:t>
      </w:r>
    </w:p>
    <w:p w:rsidR="00A61910" w:rsidRDefault="00A61910"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3D4ACE" w:rsidRDefault="00B84B17" w:rsidP="00F83D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Gráfico 1 - </w:t>
      </w:r>
      <w:r w:rsidR="009429B7">
        <w:rPr>
          <w:rFonts w:ascii="Times New Roman" w:hAnsi="Times New Roman" w:cs="Times New Roman"/>
          <w:sz w:val="24"/>
          <w:szCs w:val="24"/>
        </w:rPr>
        <w:t>Participação das Mesorregiões de Pernambuco no PIB do Estado</w:t>
      </w:r>
    </w:p>
    <w:p w:rsidR="003D4ACE" w:rsidRDefault="00803A92" w:rsidP="00F83D9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78468" cy="2638097"/>
            <wp:effectExtent l="19050" t="0" r="26932"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29B7" w:rsidRDefault="009429B7" w:rsidP="00F83D9B">
      <w:pPr>
        <w:spacing w:after="0" w:line="240" w:lineRule="auto"/>
        <w:jc w:val="center"/>
        <w:rPr>
          <w:rFonts w:ascii="Times New Roman" w:hAnsi="Times New Roman" w:cs="Times New Roman"/>
          <w:sz w:val="24"/>
          <w:szCs w:val="24"/>
        </w:rPr>
      </w:pPr>
      <w:r w:rsidRPr="00B42AF5">
        <w:rPr>
          <w:rFonts w:ascii="Times New Roman" w:eastAsia="Times New Roman" w:hAnsi="Times New Roman" w:cs="Times New Roman"/>
          <w:color w:val="000000"/>
          <w:sz w:val="20"/>
          <w:szCs w:val="20"/>
          <w:lang w:eastAsia="pt-BR"/>
        </w:rPr>
        <w:t>Fonte: IBGE, em parceria com os Órgãos Estaduais de Estatística, Secretarias Estaduais de Governo e Superintendência da Zona Franca de Manaus - SUFRAMA</w:t>
      </w:r>
    </w:p>
    <w:p w:rsidR="00F83D9B" w:rsidRDefault="00F83D9B" w:rsidP="00F83D9B">
      <w:pPr>
        <w:spacing w:after="0" w:line="240" w:lineRule="auto"/>
        <w:ind w:firstLine="709"/>
        <w:jc w:val="both"/>
        <w:rPr>
          <w:rStyle w:val="Hyperlink"/>
          <w:rFonts w:ascii="Times New Roman" w:hAnsi="Times New Roman" w:cs="Times New Roman"/>
          <w:color w:val="000000" w:themeColor="text1"/>
          <w:sz w:val="24"/>
          <w:szCs w:val="24"/>
          <w:u w:val="none"/>
        </w:rPr>
      </w:pPr>
    </w:p>
    <w:p w:rsidR="00B84B17" w:rsidRDefault="00677E6B"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w:t>
      </w:r>
      <w:r w:rsidR="0066512D">
        <w:rPr>
          <w:rStyle w:val="Hyperlink"/>
          <w:rFonts w:ascii="Times New Roman" w:hAnsi="Times New Roman" w:cs="Times New Roman"/>
          <w:color w:val="000000" w:themeColor="text1"/>
          <w:sz w:val="24"/>
          <w:szCs w:val="24"/>
          <w:u w:val="none"/>
        </w:rPr>
        <w:t>s</w:t>
      </w:r>
      <w:r>
        <w:rPr>
          <w:rStyle w:val="Hyperlink"/>
          <w:rFonts w:ascii="Times New Roman" w:hAnsi="Times New Roman" w:cs="Times New Roman"/>
          <w:color w:val="000000" w:themeColor="text1"/>
          <w:sz w:val="24"/>
          <w:szCs w:val="24"/>
          <w:u w:val="none"/>
        </w:rPr>
        <w:t xml:space="preserve"> </w:t>
      </w:r>
      <w:r w:rsidR="0066512D">
        <w:rPr>
          <w:rStyle w:val="Hyperlink"/>
          <w:rFonts w:ascii="Times New Roman" w:hAnsi="Times New Roman" w:cs="Times New Roman"/>
          <w:color w:val="000000" w:themeColor="text1"/>
          <w:sz w:val="24"/>
          <w:szCs w:val="24"/>
          <w:u w:val="none"/>
        </w:rPr>
        <w:t xml:space="preserve">mesorregiões que mais se </w:t>
      </w:r>
      <w:r w:rsidR="00450852">
        <w:rPr>
          <w:rStyle w:val="Hyperlink"/>
          <w:rFonts w:ascii="Times New Roman" w:hAnsi="Times New Roman" w:cs="Times New Roman"/>
          <w:color w:val="000000" w:themeColor="text1"/>
          <w:sz w:val="24"/>
          <w:szCs w:val="24"/>
          <w:u w:val="none"/>
        </w:rPr>
        <w:t>destacaram foram</w:t>
      </w:r>
      <w:r w:rsidR="00122B34">
        <w:rPr>
          <w:rStyle w:val="Hyperlink"/>
          <w:rFonts w:ascii="Times New Roman" w:hAnsi="Times New Roman" w:cs="Times New Roman"/>
          <w:color w:val="000000" w:themeColor="text1"/>
          <w:sz w:val="24"/>
          <w:szCs w:val="24"/>
          <w:u w:val="none"/>
        </w:rPr>
        <w:t>,</w:t>
      </w:r>
      <w:r w:rsidR="00450852">
        <w:rPr>
          <w:rStyle w:val="Hyperlink"/>
          <w:rFonts w:ascii="Times New Roman" w:hAnsi="Times New Roman" w:cs="Times New Roman"/>
          <w:color w:val="000000" w:themeColor="text1"/>
          <w:sz w:val="24"/>
          <w:szCs w:val="24"/>
          <w:u w:val="none"/>
        </w:rPr>
        <w:t xml:space="preserve"> a do Agreste e a M</w:t>
      </w:r>
      <w:r w:rsidR="0066512D">
        <w:rPr>
          <w:rStyle w:val="Hyperlink"/>
          <w:rFonts w:ascii="Times New Roman" w:hAnsi="Times New Roman" w:cs="Times New Roman"/>
          <w:color w:val="000000" w:themeColor="text1"/>
          <w:sz w:val="24"/>
          <w:szCs w:val="24"/>
          <w:u w:val="none"/>
        </w:rPr>
        <w:t>esorregião do São Francisco tendo um crescimento cerca de 360%, sendo superior ao crescimento do estado que ficou em torno de 333%.</w:t>
      </w:r>
      <w:r>
        <w:rPr>
          <w:rStyle w:val="Hyperlink"/>
          <w:rFonts w:ascii="Times New Roman" w:hAnsi="Times New Roman" w:cs="Times New Roman"/>
          <w:color w:val="000000" w:themeColor="text1"/>
          <w:sz w:val="24"/>
          <w:szCs w:val="24"/>
          <w:u w:val="none"/>
        </w:rPr>
        <w:t xml:space="preserve"> </w:t>
      </w:r>
      <w:r w:rsidR="00B4069D">
        <w:rPr>
          <w:rStyle w:val="Hyperlink"/>
          <w:rFonts w:ascii="Times New Roman" w:hAnsi="Times New Roman" w:cs="Times New Roman"/>
          <w:color w:val="000000" w:themeColor="text1"/>
          <w:sz w:val="24"/>
          <w:szCs w:val="24"/>
          <w:u w:val="none"/>
        </w:rPr>
        <w:t xml:space="preserve">Tais resultados revelam a importância que tem o setor de confecções do Agreste pernambucano para a geração de empregos e renda na região. </w:t>
      </w:r>
      <w:r w:rsidR="005E1379">
        <w:rPr>
          <w:rStyle w:val="Hyperlink"/>
          <w:rFonts w:ascii="Times New Roman" w:hAnsi="Times New Roman" w:cs="Times New Roman"/>
          <w:color w:val="000000" w:themeColor="text1"/>
          <w:sz w:val="24"/>
          <w:szCs w:val="24"/>
          <w:u w:val="none"/>
        </w:rPr>
        <w:t xml:space="preserve"> </w:t>
      </w:r>
      <w:r w:rsidR="003B2F1E">
        <w:rPr>
          <w:rStyle w:val="Hyperlink"/>
          <w:rFonts w:ascii="Times New Roman" w:hAnsi="Times New Roman" w:cs="Times New Roman"/>
          <w:color w:val="000000" w:themeColor="text1"/>
          <w:sz w:val="24"/>
          <w:szCs w:val="24"/>
          <w:u w:val="none"/>
        </w:rPr>
        <w:t xml:space="preserve">De acordo com Rocha, Silva Júnior e Viana (2015), </w:t>
      </w:r>
      <w:r w:rsidR="005E1379">
        <w:rPr>
          <w:rStyle w:val="Hyperlink"/>
          <w:rFonts w:ascii="Times New Roman" w:hAnsi="Times New Roman" w:cs="Times New Roman"/>
          <w:color w:val="000000" w:themeColor="text1"/>
          <w:sz w:val="24"/>
          <w:szCs w:val="24"/>
          <w:u w:val="none"/>
        </w:rPr>
        <w:t>representado pelo</w:t>
      </w:r>
      <w:r w:rsidR="003B2F1E">
        <w:rPr>
          <w:rStyle w:val="Hyperlink"/>
          <w:rFonts w:ascii="Times New Roman" w:hAnsi="Times New Roman" w:cs="Times New Roman"/>
          <w:color w:val="000000" w:themeColor="text1"/>
          <w:sz w:val="24"/>
          <w:szCs w:val="24"/>
          <w:u w:val="none"/>
        </w:rPr>
        <w:t>s</w:t>
      </w:r>
      <w:r w:rsidR="005E1379">
        <w:rPr>
          <w:rStyle w:val="Hyperlink"/>
          <w:rFonts w:ascii="Times New Roman" w:hAnsi="Times New Roman" w:cs="Times New Roman"/>
          <w:color w:val="000000" w:themeColor="text1"/>
          <w:sz w:val="24"/>
          <w:szCs w:val="24"/>
          <w:u w:val="none"/>
        </w:rPr>
        <w:t xml:space="preserve"> município</w:t>
      </w:r>
      <w:r w:rsidR="003B2F1E">
        <w:rPr>
          <w:rStyle w:val="Hyperlink"/>
          <w:rFonts w:ascii="Times New Roman" w:hAnsi="Times New Roman" w:cs="Times New Roman"/>
          <w:color w:val="000000" w:themeColor="text1"/>
          <w:sz w:val="24"/>
          <w:szCs w:val="24"/>
          <w:u w:val="none"/>
        </w:rPr>
        <w:t>s</w:t>
      </w:r>
      <w:r w:rsidR="005E1379">
        <w:rPr>
          <w:rStyle w:val="Hyperlink"/>
          <w:rFonts w:ascii="Times New Roman" w:hAnsi="Times New Roman" w:cs="Times New Roman"/>
          <w:color w:val="000000" w:themeColor="text1"/>
          <w:sz w:val="24"/>
          <w:szCs w:val="24"/>
          <w:u w:val="none"/>
        </w:rPr>
        <w:t xml:space="preserve"> de Caruaru, apresentando maior diversidade na estrutura produtiva, em comparação a outros dois importantes municípios, </w:t>
      </w:r>
      <w:r w:rsidR="003B2F1E">
        <w:rPr>
          <w:rStyle w:val="Hyperlink"/>
          <w:rFonts w:ascii="Times New Roman" w:hAnsi="Times New Roman" w:cs="Times New Roman"/>
          <w:color w:val="000000" w:themeColor="text1"/>
          <w:sz w:val="24"/>
          <w:szCs w:val="24"/>
          <w:u w:val="none"/>
        </w:rPr>
        <w:t xml:space="preserve">de </w:t>
      </w:r>
      <w:r w:rsidR="005E1379">
        <w:rPr>
          <w:rStyle w:val="Hyperlink"/>
          <w:rFonts w:ascii="Times New Roman" w:hAnsi="Times New Roman" w:cs="Times New Roman"/>
          <w:color w:val="000000" w:themeColor="text1"/>
          <w:sz w:val="24"/>
          <w:szCs w:val="24"/>
          <w:u w:val="none"/>
        </w:rPr>
        <w:t>Santa Cruz do Capibaribe e Toritama.</w:t>
      </w:r>
    </w:p>
    <w:p w:rsidR="00377157" w:rsidRDefault="005B24C2"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Já no São Francisco Pernambucano o município de Petrolina é responsável, junto com Juazeiro da Bahia, pela maior base irrigada do Nordeste. </w:t>
      </w:r>
      <w:r w:rsidR="002F1B37">
        <w:rPr>
          <w:rStyle w:val="Hyperlink"/>
          <w:rFonts w:ascii="Times New Roman" w:hAnsi="Times New Roman" w:cs="Times New Roman"/>
          <w:color w:val="000000" w:themeColor="text1"/>
          <w:sz w:val="24"/>
          <w:szCs w:val="24"/>
          <w:u w:val="none"/>
        </w:rPr>
        <w:t xml:space="preserve">Com isso, segundo Lacerda e Lacerda (2004), a fruticultura irrigada é a principal atividade econômica da mesorregião, a qual impacta de maneira positiva no emprego e na renda. Inclusive, transbordando para outros setores como, a indústria, o comercio e </w:t>
      </w:r>
      <w:r w:rsidR="00583474">
        <w:rPr>
          <w:rStyle w:val="Hyperlink"/>
          <w:rFonts w:ascii="Times New Roman" w:hAnsi="Times New Roman" w:cs="Times New Roman"/>
          <w:color w:val="000000" w:themeColor="text1"/>
          <w:sz w:val="24"/>
          <w:szCs w:val="24"/>
          <w:u w:val="none"/>
        </w:rPr>
        <w:t>serviços, observam-se ainda</w:t>
      </w:r>
      <w:r w:rsidR="005E0F0C">
        <w:rPr>
          <w:rStyle w:val="Hyperlink"/>
          <w:rFonts w:ascii="Times New Roman" w:hAnsi="Times New Roman" w:cs="Times New Roman"/>
          <w:color w:val="000000" w:themeColor="text1"/>
          <w:sz w:val="24"/>
          <w:szCs w:val="24"/>
          <w:u w:val="none"/>
        </w:rPr>
        <w:t xml:space="preserve"> </w:t>
      </w:r>
      <w:r w:rsidR="00BC3C54">
        <w:rPr>
          <w:rStyle w:val="Hyperlink"/>
          <w:rFonts w:ascii="Times New Roman" w:hAnsi="Times New Roman" w:cs="Times New Roman"/>
          <w:color w:val="000000" w:themeColor="text1"/>
          <w:sz w:val="24"/>
          <w:szCs w:val="24"/>
          <w:u w:val="none"/>
        </w:rPr>
        <w:t>a participação de Pernambuco na região Nordeste</w:t>
      </w:r>
      <w:r w:rsidR="00677E6B">
        <w:rPr>
          <w:rStyle w:val="Hyperlink"/>
          <w:rFonts w:ascii="Times New Roman" w:hAnsi="Times New Roman" w:cs="Times New Roman"/>
          <w:color w:val="000000" w:themeColor="text1"/>
          <w:sz w:val="24"/>
          <w:szCs w:val="24"/>
          <w:u w:val="none"/>
        </w:rPr>
        <w:t xml:space="preserve"> representada por</w:t>
      </w:r>
      <w:r w:rsidR="00BC3C54">
        <w:rPr>
          <w:rStyle w:val="Hyperlink"/>
          <w:rFonts w:ascii="Times New Roman" w:hAnsi="Times New Roman" w:cs="Times New Roman"/>
          <w:color w:val="000000" w:themeColor="text1"/>
          <w:sz w:val="24"/>
          <w:szCs w:val="24"/>
          <w:u w:val="none"/>
        </w:rPr>
        <w:t xml:space="preserve"> cerca de 20% do produto desta região,</w:t>
      </w:r>
      <w:r w:rsidR="000C06F6">
        <w:rPr>
          <w:rStyle w:val="Hyperlink"/>
          <w:rFonts w:ascii="Times New Roman" w:hAnsi="Times New Roman" w:cs="Times New Roman"/>
          <w:color w:val="000000" w:themeColor="text1"/>
          <w:sz w:val="24"/>
          <w:szCs w:val="24"/>
          <w:u w:val="none"/>
        </w:rPr>
        <w:t xml:space="preserve"> e a participação do Nordeste n</w:t>
      </w:r>
      <w:r w:rsidR="00677E6B">
        <w:rPr>
          <w:rStyle w:val="Hyperlink"/>
          <w:rFonts w:ascii="Times New Roman" w:hAnsi="Times New Roman" w:cs="Times New Roman"/>
          <w:color w:val="000000" w:themeColor="text1"/>
          <w:sz w:val="24"/>
          <w:szCs w:val="24"/>
          <w:u w:val="none"/>
        </w:rPr>
        <w:t>o PIB brasileiro representando (</w:t>
      </w:r>
      <w:r w:rsidR="000C06F6">
        <w:rPr>
          <w:rStyle w:val="Hyperlink"/>
          <w:rFonts w:ascii="Times New Roman" w:hAnsi="Times New Roman" w:cs="Times New Roman"/>
          <w:color w:val="000000" w:themeColor="text1"/>
          <w:sz w:val="24"/>
          <w:szCs w:val="24"/>
          <w:u w:val="none"/>
        </w:rPr>
        <w:t>13%</w:t>
      </w:r>
      <w:r w:rsidR="00677E6B">
        <w:rPr>
          <w:rStyle w:val="Hyperlink"/>
          <w:rFonts w:ascii="Times New Roman" w:hAnsi="Times New Roman" w:cs="Times New Roman"/>
          <w:color w:val="000000" w:themeColor="text1"/>
          <w:sz w:val="24"/>
          <w:szCs w:val="24"/>
          <w:u w:val="none"/>
        </w:rPr>
        <w:t>)</w:t>
      </w:r>
      <w:r w:rsidR="000C06F6">
        <w:rPr>
          <w:rStyle w:val="Hyperlink"/>
          <w:rFonts w:ascii="Times New Roman" w:hAnsi="Times New Roman" w:cs="Times New Roman"/>
          <w:color w:val="000000" w:themeColor="text1"/>
          <w:sz w:val="24"/>
          <w:szCs w:val="24"/>
          <w:u w:val="none"/>
        </w:rPr>
        <w:t xml:space="preserve"> desse produto</w:t>
      </w:r>
      <w:r w:rsidR="00345488">
        <w:rPr>
          <w:rStyle w:val="Hyperlink"/>
          <w:rFonts w:ascii="Times New Roman" w:hAnsi="Times New Roman" w:cs="Times New Roman"/>
          <w:color w:val="000000" w:themeColor="text1"/>
          <w:sz w:val="24"/>
          <w:szCs w:val="24"/>
          <w:u w:val="none"/>
        </w:rPr>
        <w:t>.</w:t>
      </w:r>
    </w:p>
    <w:p w:rsidR="00035F87" w:rsidRDefault="00484CD4" w:rsidP="00A61910">
      <w:pPr>
        <w:spacing w:after="0"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w:t>
      </w:r>
      <w:r w:rsidR="00035F87">
        <w:rPr>
          <w:rStyle w:val="Hyperlink"/>
          <w:rFonts w:ascii="Times New Roman" w:hAnsi="Times New Roman" w:cs="Times New Roman"/>
          <w:color w:val="000000" w:themeColor="text1"/>
          <w:sz w:val="24"/>
          <w:szCs w:val="24"/>
          <w:u w:val="none"/>
        </w:rPr>
        <w:t xml:space="preserve"> composição setorial do PIB pernambucano</w:t>
      </w:r>
      <w:r w:rsidR="00227520">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é</w:t>
      </w:r>
      <w:r w:rsidR="00227520">
        <w:rPr>
          <w:rStyle w:val="Hyperlink"/>
          <w:rFonts w:ascii="Times New Roman" w:hAnsi="Times New Roman" w:cs="Times New Roman"/>
          <w:color w:val="000000" w:themeColor="text1"/>
          <w:sz w:val="24"/>
          <w:szCs w:val="24"/>
          <w:u w:val="none"/>
        </w:rPr>
        <w:t xml:space="preserve"> apresentada no Quadro 2</w:t>
      </w:r>
      <w:r w:rsidR="00F60448">
        <w:rPr>
          <w:rStyle w:val="Refdenotaderodap"/>
          <w:rFonts w:ascii="Times New Roman" w:hAnsi="Times New Roman" w:cs="Times New Roman"/>
          <w:color w:val="000000" w:themeColor="text1"/>
          <w:sz w:val="24"/>
          <w:szCs w:val="24"/>
        </w:rPr>
        <w:footnoteReference w:id="3"/>
      </w:r>
      <w:r w:rsidR="00583474">
        <w:rPr>
          <w:rStyle w:val="Hyperlink"/>
          <w:rFonts w:ascii="Times New Roman" w:hAnsi="Times New Roman" w:cs="Times New Roman"/>
          <w:color w:val="000000" w:themeColor="text1"/>
          <w:sz w:val="24"/>
          <w:szCs w:val="24"/>
          <w:u w:val="none"/>
        </w:rPr>
        <w:t>,</w:t>
      </w:r>
      <w:r w:rsidR="00500ED6">
        <w:rPr>
          <w:rStyle w:val="Hyperlink"/>
          <w:rFonts w:ascii="Times New Roman" w:hAnsi="Times New Roman" w:cs="Times New Roman"/>
          <w:color w:val="000000" w:themeColor="text1"/>
          <w:sz w:val="24"/>
          <w:szCs w:val="24"/>
          <w:u w:val="none"/>
        </w:rPr>
        <w:t xml:space="preserve"> mostrando os setores da indústria, serviços e Agricultura</w:t>
      </w:r>
      <w:r>
        <w:rPr>
          <w:rStyle w:val="Hyperlink"/>
          <w:rFonts w:ascii="Times New Roman" w:hAnsi="Times New Roman" w:cs="Times New Roman"/>
          <w:color w:val="000000" w:themeColor="text1"/>
          <w:sz w:val="24"/>
          <w:szCs w:val="24"/>
          <w:u w:val="none"/>
        </w:rPr>
        <w:t xml:space="preserve">. </w:t>
      </w:r>
      <w:r w:rsidR="00F668C5">
        <w:rPr>
          <w:rStyle w:val="Hyperlink"/>
          <w:rFonts w:ascii="Times New Roman" w:hAnsi="Times New Roman" w:cs="Times New Roman"/>
          <w:color w:val="000000" w:themeColor="text1"/>
          <w:sz w:val="24"/>
          <w:szCs w:val="24"/>
          <w:u w:val="none"/>
        </w:rPr>
        <w:t>Quanto à distribuição espacial dos setores</w:t>
      </w:r>
      <w:r w:rsidR="00227520">
        <w:rPr>
          <w:rStyle w:val="Hyperlink"/>
          <w:rFonts w:ascii="Times New Roman" w:hAnsi="Times New Roman" w:cs="Times New Roman"/>
          <w:color w:val="000000" w:themeColor="text1"/>
          <w:sz w:val="24"/>
          <w:szCs w:val="24"/>
          <w:u w:val="none"/>
        </w:rPr>
        <w:t xml:space="preserve"> </w:t>
      </w:r>
      <w:r w:rsidR="00F668C5">
        <w:rPr>
          <w:rStyle w:val="Hyperlink"/>
          <w:rFonts w:ascii="Times New Roman" w:hAnsi="Times New Roman" w:cs="Times New Roman"/>
          <w:color w:val="000000" w:themeColor="text1"/>
          <w:sz w:val="24"/>
          <w:szCs w:val="24"/>
          <w:u w:val="none"/>
        </w:rPr>
        <w:t>pode-se observar que a agricultura contribui</w:t>
      </w:r>
      <w:r w:rsidR="00227520">
        <w:rPr>
          <w:rStyle w:val="Hyperlink"/>
          <w:rFonts w:ascii="Times New Roman" w:hAnsi="Times New Roman" w:cs="Times New Roman"/>
          <w:color w:val="000000" w:themeColor="text1"/>
          <w:sz w:val="24"/>
          <w:szCs w:val="24"/>
          <w:u w:val="none"/>
        </w:rPr>
        <w:t>u</w:t>
      </w:r>
      <w:r w:rsidR="00F668C5">
        <w:rPr>
          <w:rStyle w:val="Hyperlink"/>
          <w:rFonts w:ascii="Times New Roman" w:hAnsi="Times New Roman" w:cs="Times New Roman"/>
          <w:color w:val="000000" w:themeColor="text1"/>
          <w:sz w:val="24"/>
          <w:szCs w:val="24"/>
          <w:u w:val="none"/>
        </w:rPr>
        <w:t xml:space="preserve"> com 4% para o produto;</w:t>
      </w:r>
      <w:r>
        <w:rPr>
          <w:rStyle w:val="Hyperlink"/>
          <w:rFonts w:ascii="Times New Roman" w:hAnsi="Times New Roman" w:cs="Times New Roman"/>
          <w:color w:val="000000" w:themeColor="text1"/>
          <w:sz w:val="24"/>
          <w:szCs w:val="24"/>
          <w:u w:val="none"/>
        </w:rPr>
        <w:t xml:space="preserve"> o setor </w:t>
      </w:r>
      <w:r w:rsidR="00F668C5">
        <w:rPr>
          <w:rStyle w:val="Hyperlink"/>
          <w:rFonts w:ascii="Times New Roman" w:hAnsi="Times New Roman" w:cs="Times New Roman"/>
          <w:color w:val="000000" w:themeColor="text1"/>
          <w:sz w:val="24"/>
          <w:szCs w:val="24"/>
          <w:u w:val="none"/>
        </w:rPr>
        <w:t>da indústria</w:t>
      </w:r>
      <w:r>
        <w:rPr>
          <w:rStyle w:val="Hyperlink"/>
          <w:rFonts w:ascii="Times New Roman" w:hAnsi="Times New Roman" w:cs="Times New Roman"/>
          <w:color w:val="000000" w:themeColor="text1"/>
          <w:sz w:val="24"/>
          <w:szCs w:val="24"/>
          <w:u w:val="none"/>
        </w:rPr>
        <w:t xml:space="preserve"> representa cerca de </w:t>
      </w:r>
      <w:r w:rsidR="00F668C5">
        <w:rPr>
          <w:rStyle w:val="Hyperlink"/>
          <w:rFonts w:ascii="Times New Roman" w:hAnsi="Times New Roman" w:cs="Times New Roman"/>
          <w:color w:val="000000" w:themeColor="text1"/>
          <w:sz w:val="24"/>
          <w:szCs w:val="24"/>
          <w:u w:val="none"/>
        </w:rPr>
        <w:t>20</w:t>
      </w:r>
      <w:r>
        <w:rPr>
          <w:rStyle w:val="Hyperlink"/>
          <w:rFonts w:ascii="Times New Roman" w:hAnsi="Times New Roman" w:cs="Times New Roman"/>
          <w:color w:val="000000" w:themeColor="text1"/>
          <w:sz w:val="24"/>
          <w:szCs w:val="24"/>
          <w:u w:val="none"/>
        </w:rPr>
        <w:t>% do produto pernambucano, não tendo um aumento significativo na participação do PIB, mas apresentando o maior crescimento em comparação aos outros setores</w:t>
      </w:r>
      <w:r w:rsidR="00F668C5">
        <w:rPr>
          <w:rStyle w:val="Hyperlink"/>
          <w:rFonts w:ascii="Times New Roman" w:hAnsi="Times New Roman" w:cs="Times New Roman"/>
          <w:color w:val="000000" w:themeColor="text1"/>
          <w:sz w:val="24"/>
          <w:szCs w:val="24"/>
          <w:u w:val="none"/>
        </w:rPr>
        <w:t xml:space="preserve"> e o setor de serviços corresponde por cerca de 65% do produto pernambucano, observando que o setor de serviços agrega mais trabalhadores do que os outros setores.</w:t>
      </w:r>
    </w:p>
    <w:p w:rsidR="00A61910" w:rsidRDefault="00A61910"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227520" w:rsidRPr="00227520" w:rsidRDefault="00583474" w:rsidP="00A61910">
      <w:pPr>
        <w:spacing w:after="0" w:line="240" w:lineRule="auto"/>
        <w:ind w:firstLine="709"/>
        <w:jc w:val="center"/>
        <w:rPr>
          <w:rStyle w:val="Hyperlink"/>
          <w:rFonts w:ascii="Times New Roman" w:hAnsi="Times New Roman" w:cs="Times New Roman"/>
          <w:color w:val="000000" w:themeColor="text1"/>
          <w:sz w:val="24"/>
          <w:szCs w:val="24"/>
          <w:u w:val="none"/>
        </w:rPr>
      </w:pPr>
      <w:r>
        <w:rPr>
          <w:rFonts w:ascii="Times New Roman" w:eastAsia="Times New Roman" w:hAnsi="Times New Roman" w:cs="Times New Roman"/>
          <w:bCs/>
          <w:color w:val="000000"/>
          <w:lang w:eastAsia="pt-BR"/>
        </w:rPr>
        <w:t>Quadro 2</w:t>
      </w:r>
      <w:r w:rsidR="00227520" w:rsidRPr="00227520">
        <w:rPr>
          <w:rFonts w:ascii="Times New Roman" w:eastAsia="Times New Roman" w:hAnsi="Times New Roman" w:cs="Times New Roman"/>
          <w:bCs/>
          <w:color w:val="000000"/>
          <w:lang w:eastAsia="pt-BR"/>
        </w:rPr>
        <w:t xml:space="preserve"> - Composição Setorial do PIB Pernambucano</w:t>
      </w:r>
    </w:p>
    <w:tbl>
      <w:tblPr>
        <w:tblW w:w="9118" w:type="dxa"/>
        <w:jc w:val="center"/>
        <w:tblInd w:w="-1062" w:type="dxa"/>
        <w:tblCellMar>
          <w:left w:w="70" w:type="dxa"/>
          <w:right w:w="70" w:type="dxa"/>
        </w:tblCellMar>
        <w:tblLook w:val="04A0" w:firstRow="1" w:lastRow="0" w:firstColumn="1" w:lastColumn="0" w:noHBand="0" w:noVBand="1"/>
      </w:tblPr>
      <w:tblGrid>
        <w:gridCol w:w="731"/>
        <w:gridCol w:w="1574"/>
        <w:gridCol w:w="1275"/>
        <w:gridCol w:w="1560"/>
        <w:gridCol w:w="1275"/>
        <w:gridCol w:w="1418"/>
        <w:gridCol w:w="1285"/>
      </w:tblGrid>
      <w:tr w:rsidR="005062E1" w:rsidRPr="009A0918" w:rsidTr="00227520">
        <w:trPr>
          <w:trHeight w:val="338"/>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A61910">
            <w:pPr>
              <w:spacing w:after="0" w:line="240" w:lineRule="auto"/>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 </w:t>
            </w:r>
            <w:r w:rsidR="00554A27" w:rsidRPr="00607F12">
              <w:rPr>
                <w:rFonts w:ascii="Times New Roman" w:eastAsia="Times New Roman" w:hAnsi="Times New Roman" w:cs="Times New Roman"/>
                <w:b/>
                <w:color w:val="000000"/>
                <w:sz w:val="20"/>
                <w:szCs w:val="20"/>
                <w:lang w:eastAsia="pt-BR"/>
              </w:rPr>
              <w:t>Ano</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9A0918" w:rsidRPr="00607F12" w:rsidRDefault="00554A27" w:rsidP="009A0918">
            <w:pPr>
              <w:spacing w:after="0" w:line="240" w:lineRule="auto"/>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Indú</w:t>
            </w:r>
            <w:r w:rsidR="009A0918" w:rsidRPr="00607F12">
              <w:rPr>
                <w:rFonts w:ascii="Times New Roman" w:eastAsia="Times New Roman" w:hAnsi="Times New Roman" w:cs="Times New Roman"/>
                <w:b/>
                <w:color w:val="000000"/>
                <w:sz w:val="20"/>
                <w:szCs w:val="20"/>
                <w:lang w:eastAsia="pt-BR"/>
              </w:rPr>
              <w:t>stria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A0918" w:rsidRPr="00607F12" w:rsidRDefault="009A0918" w:rsidP="009A0918">
            <w:pPr>
              <w:spacing w:after="0" w:line="240" w:lineRule="auto"/>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Participação</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A0918" w:rsidRPr="00607F12" w:rsidRDefault="009A0918" w:rsidP="009A0918">
            <w:pPr>
              <w:spacing w:after="0" w:line="240" w:lineRule="auto"/>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Serviços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A0918" w:rsidRPr="00607F12" w:rsidRDefault="009A0918" w:rsidP="004874CF">
            <w:pPr>
              <w:spacing w:after="0" w:line="240" w:lineRule="auto"/>
              <w:ind w:left="-236" w:firstLine="236"/>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Participação</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A0918" w:rsidRPr="00607F12" w:rsidRDefault="009A0918" w:rsidP="009A0918">
            <w:pPr>
              <w:spacing w:after="0" w:line="240" w:lineRule="auto"/>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Agrícola</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rsidR="009A0918" w:rsidRPr="00607F12" w:rsidRDefault="009A0918" w:rsidP="009A0918">
            <w:pPr>
              <w:spacing w:after="0" w:line="240" w:lineRule="auto"/>
              <w:jc w:val="center"/>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Participação</w:t>
            </w:r>
          </w:p>
        </w:tc>
      </w:tr>
      <w:tr w:rsidR="005062E1" w:rsidRPr="009A0918" w:rsidTr="005062E1">
        <w:trPr>
          <w:trHeight w:val="338"/>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2000</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B06909"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R$ </w:t>
            </w:r>
            <w:r w:rsidR="009A0918" w:rsidRPr="00607F12">
              <w:rPr>
                <w:rFonts w:ascii="Times New Roman" w:eastAsia="Times New Roman" w:hAnsi="Times New Roman" w:cs="Times New Roman"/>
                <w:color w:val="000000"/>
                <w:sz w:val="20"/>
                <w:szCs w:val="20"/>
                <w:lang w:eastAsia="pt-BR"/>
              </w:rPr>
              <w:t>5.162.854</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19,15%</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R$ 17.479.003</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64,84%</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R$ 1.033.672</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3,83%</w:t>
            </w:r>
          </w:p>
        </w:tc>
      </w:tr>
      <w:tr w:rsidR="005062E1" w:rsidRPr="009A0918" w:rsidTr="005062E1">
        <w:trPr>
          <w:trHeight w:val="338"/>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2002</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B06909"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R$</w:t>
            </w:r>
            <w:r w:rsidR="00B84B17" w:rsidRPr="00607F12">
              <w:rPr>
                <w:rFonts w:ascii="Times New Roman" w:eastAsia="Times New Roman" w:hAnsi="Times New Roman" w:cs="Times New Roman"/>
                <w:color w:val="000000"/>
                <w:sz w:val="20"/>
                <w:szCs w:val="20"/>
                <w:lang w:eastAsia="pt-BR"/>
              </w:rPr>
              <w:t xml:space="preserve"> 6.627.801</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18,80%</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R$ 22.476.283 </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63,76%</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R$ 1.500.902 </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4,26%</w:t>
            </w:r>
          </w:p>
        </w:tc>
      </w:tr>
      <w:tr w:rsidR="005062E1" w:rsidRPr="009A0918" w:rsidTr="005062E1">
        <w:trPr>
          <w:trHeight w:val="307"/>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2004</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R$ 8.730.242</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19,84%</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R$ 27.472.180 </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62,42%</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R$ 1.951.748 </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4,43%</w:t>
            </w:r>
          </w:p>
        </w:tc>
      </w:tr>
      <w:tr w:rsidR="005062E1" w:rsidRPr="009A0918" w:rsidTr="005062E1">
        <w:trPr>
          <w:trHeight w:val="307"/>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2006</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R$ 10.304.899</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18,57%</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R$ 34.871.559</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62,84%</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R$ 2.474.146 </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4,46%</w:t>
            </w:r>
          </w:p>
        </w:tc>
      </w:tr>
      <w:tr w:rsidR="005062E1" w:rsidRPr="009A0918" w:rsidTr="005062E1">
        <w:trPr>
          <w:trHeight w:val="307"/>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2008</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R$ 13.105.527,</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18,61%</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R$ 43.770.030</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62,14%</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R$ 3.234.188 </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4,59%</w:t>
            </w:r>
          </w:p>
        </w:tc>
      </w:tr>
      <w:tr w:rsidR="005062E1" w:rsidRPr="009A0918" w:rsidTr="005062E1">
        <w:trPr>
          <w:trHeight w:val="307"/>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2010</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R$ 18.076.555</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18,99%</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R$ 59.890.750</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62,92%</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B84B17"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R$ 3.662.009</w:t>
            </w:r>
            <w:r w:rsidR="009A0918" w:rsidRPr="00607F12">
              <w:rPr>
                <w:rFonts w:ascii="Times New Roman" w:eastAsia="Times New Roman" w:hAnsi="Times New Roman" w:cs="Times New Roman"/>
                <w:color w:val="000000"/>
                <w:sz w:val="20"/>
                <w:szCs w:val="20"/>
                <w:lang w:eastAsia="pt-BR"/>
              </w:rPr>
              <w:t xml:space="preserve"> </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3,85%</w:t>
            </w:r>
          </w:p>
        </w:tc>
      </w:tr>
      <w:tr w:rsidR="005062E1" w:rsidRPr="009A0918" w:rsidTr="005062E1">
        <w:trPr>
          <w:trHeight w:val="307"/>
          <w:jc w:val="center"/>
        </w:trPr>
        <w:tc>
          <w:tcPr>
            <w:tcW w:w="731" w:type="dxa"/>
            <w:tcBorders>
              <w:top w:val="nil"/>
              <w:left w:val="single" w:sz="4" w:space="0" w:color="auto"/>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rPr>
                <w:rFonts w:ascii="Times New Roman" w:eastAsia="Times New Roman" w:hAnsi="Times New Roman" w:cs="Times New Roman"/>
                <w:b/>
                <w:color w:val="000000"/>
                <w:sz w:val="20"/>
                <w:szCs w:val="20"/>
                <w:lang w:eastAsia="pt-BR"/>
              </w:rPr>
            </w:pPr>
            <w:r w:rsidRPr="00607F12">
              <w:rPr>
                <w:rFonts w:ascii="Times New Roman" w:eastAsia="Times New Roman" w:hAnsi="Times New Roman" w:cs="Times New Roman"/>
                <w:b/>
                <w:color w:val="000000"/>
                <w:sz w:val="20"/>
                <w:szCs w:val="20"/>
                <w:lang w:eastAsia="pt-BR"/>
              </w:rPr>
              <w:t>2012</w:t>
            </w:r>
          </w:p>
        </w:tc>
        <w:tc>
          <w:tcPr>
            <w:tcW w:w="1574"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A965FE">
            <w:pPr>
              <w:spacing w:after="0" w:line="240" w:lineRule="auto"/>
              <w:jc w:val="center"/>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R$ 24.941.381</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21,26%</w:t>
            </w:r>
          </w:p>
        </w:tc>
        <w:tc>
          <w:tcPr>
            <w:tcW w:w="1560"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R$ 71.657.001</w:t>
            </w:r>
          </w:p>
        </w:tc>
        <w:tc>
          <w:tcPr>
            <w:tcW w:w="127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61,07%</w:t>
            </w:r>
          </w:p>
        </w:tc>
        <w:tc>
          <w:tcPr>
            <w:tcW w:w="1418"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 xml:space="preserve"> R$ 2.676.417 </w:t>
            </w:r>
          </w:p>
        </w:tc>
        <w:tc>
          <w:tcPr>
            <w:tcW w:w="1285" w:type="dxa"/>
            <w:tcBorders>
              <w:top w:val="nil"/>
              <w:left w:val="nil"/>
              <w:bottom w:val="single" w:sz="4" w:space="0" w:color="auto"/>
              <w:right w:val="single" w:sz="4" w:space="0" w:color="auto"/>
            </w:tcBorders>
            <w:shd w:val="clear" w:color="auto" w:fill="auto"/>
            <w:noWrap/>
            <w:vAlign w:val="bottom"/>
            <w:hideMark/>
          </w:tcPr>
          <w:p w:rsidR="009A0918" w:rsidRPr="00607F12" w:rsidRDefault="009A0918" w:rsidP="004B1B70">
            <w:pPr>
              <w:spacing w:after="0" w:line="240" w:lineRule="auto"/>
              <w:jc w:val="right"/>
              <w:rPr>
                <w:rFonts w:ascii="Times New Roman" w:eastAsia="Times New Roman" w:hAnsi="Times New Roman" w:cs="Times New Roman"/>
                <w:color w:val="000000"/>
                <w:sz w:val="20"/>
                <w:szCs w:val="20"/>
                <w:lang w:eastAsia="pt-BR"/>
              </w:rPr>
            </w:pPr>
            <w:r w:rsidRPr="00607F12">
              <w:rPr>
                <w:rFonts w:ascii="Times New Roman" w:eastAsia="Times New Roman" w:hAnsi="Times New Roman" w:cs="Times New Roman"/>
                <w:color w:val="000000"/>
                <w:sz w:val="20"/>
                <w:szCs w:val="20"/>
                <w:lang w:eastAsia="pt-BR"/>
              </w:rPr>
              <w:t>2,28%</w:t>
            </w:r>
          </w:p>
        </w:tc>
      </w:tr>
      <w:tr w:rsidR="009A0918" w:rsidRPr="009A0918" w:rsidTr="005062E1">
        <w:trPr>
          <w:trHeight w:val="307"/>
          <w:jc w:val="center"/>
        </w:trPr>
        <w:tc>
          <w:tcPr>
            <w:tcW w:w="9118" w:type="dxa"/>
            <w:gridSpan w:val="7"/>
            <w:tcBorders>
              <w:top w:val="nil"/>
              <w:left w:val="nil"/>
              <w:bottom w:val="nil"/>
              <w:right w:val="nil"/>
            </w:tcBorders>
            <w:shd w:val="clear" w:color="auto" w:fill="auto"/>
            <w:noWrap/>
            <w:vAlign w:val="bottom"/>
            <w:hideMark/>
          </w:tcPr>
          <w:p w:rsidR="009A0918" w:rsidRPr="009A0918" w:rsidRDefault="009A0918" w:rsidP="009A0918">
            <w:pPr>
              <w:spacing w:after="0" w:line="240" w:lineRule="auto"/>
              <w:rPr>
                <w:rFonts w:ascii="Times New Roman" w:eastAsia="Times New Roman" w:hAnsi="Times New Roman" w:cs="Times New Roman"/>
                <w:b/>
                <w:bCs/>
                <w:color w:val="000000"/>
                <w:sz w:val="20"/>
                <w:szCs w:val="20"/>
                <w:lang w:eastAsia="pt-BR"/>
              </w:rPr>
            </w:pPr>
            <w:r w:rsidRPr="00601C46">
              <w:rPr>
                <w:rFonts w:ascii="Times New Roman" w:eastAsia="Times New Roman" w:hAnsi="Times New Roman" w:cs="Times New Roman"/>
                <w:bCs/>
                <w:color w:val="000000"/>
                <w:sz w:val="20"/>
                <w:szCs w:val="20"/>
                <w:lang w:eastAsia="pt-BR"/>
              </w:rPr>
              <w:t>Fonte:</w:t>
            </w:r>
            <w:r w:rsidRPr="00601C46">
              <w:rPr>
                <w:rFonts w:ascii="Times New Roman" w:eastAsia="Times New Roman" w:hAnsi="Times New Roman" w:cs="Times New Roman"/>
                <w:color w:val="000000"/>
                <w:sz w:val="20"/>
                <w:szCs w:val="20"/>
                <w:lang w:eastAsia="pt-BR"/>
              </w:rPr>
              <w:t xml:space="preserve"> elaborada pelo autor a partir dos dados do IBGE, em parceria com os Órgãos Estaduais de Estatística, Secretarias</w:t>
            </w:r>
            <w:r w:rsidRPr="009A0918">
              <w:rPr>
                <w:rFonts w:ascii="Times New Roman" w:eastAsia="Times New Roman" w:hAnsi="Times New Roman" w:cs="Times New Roman"/>
                <w:color w:val="000000"/>
                <w:sz w:val="20"/>
                <w:szCs w:val="20"/>
                <w:lang w:eastAsia="pt-BR"/>
              </w:rPr>
              <w:t xml:space="preserve"> Estaduais de Governo e Superintendência da Zona Franca de Manaus – SUFRAMA</w:t>
            </w:r>
          </w:p>
        </w:tc>
      </w:tr>
    </w:tbl>
    <w:p w:rsidR="005D0167" w:rsidRDefault="005D0167"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F92EF7" w:rsidRDefault="0088535F"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Em </w:t>
      </w:r>
      <w:r w:rsidR="006C5FAC">
        <w:rPr>
          <w:rStyle w:val="Hyperlink"/>
          <w:rFonts w:ascii="Times New Roman" w:hAnsi="Times New Roman" w:cs="Times New Roman"/>
          <w:color w:val="000000" w:themeColor="text1"/>
          <w:sz w:val="24"/>
          <w:szCs w:val="24"/>
          <w:u w:val="none"/>
        </w:rPr>
        <w:t>suma</w:t>
      </w:r>
      <w:r w:rsidR="00227520">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xml:space="preserve"> se pode afirmar que a Mesorregião Metropolitana é a </w:t>
      </w:r>
      <w:r w:rsidR="00227520">
        <w:rPr>
          <w:rStyle w:val="Hyperlink"/>
          <w:rFonts w:ascii="Times New Roman" w:hAnsi="Times New Roman" w:cs="Times New Roman"/>
          <w:color w:val="000000" w:themeColor="text1"/>
          <w:sz w:val="24"/>
          <w:szCs w:val="24"/>
          <w:u w:val="none"/>
        </w:rPr>
        <w:t xml:space="preserve">que apresenta o maior peso </w:t>
      </w:r>
      <w:r>
        <w:rPr>
          <w:rStyle w:val="Hyperlink"/>
          <w:rFonts w:ascii="Times New Roman" w:hAnsi="Times New Roman" w:cs="Times New Roman"/>
          <w:color w:val="000000" w:themeColor="text1"/>
          <w:sz w:val="24"/>
          <w:szCs w:val="24"/>
          <w:u w:val="none"/>
        </w:rPr>
        <w:t>do estado em relação à contribuição do PIB</w:t>
      </w:r>
      <w:r w:rsidR="00227520">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xml:space="preserve"> porém</w:t>
      </w:r>
      <w:r w:rsidR="00227520">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xml:space="preserve"> a</w:t>
      </w:r>
      <w:r w:rsidR="00460991">
        <w:rPr>
          <w:rStyle w:val="Hyperlink"/>
          <w:rFonts w:ascii="Times New Roman" w:hAnsi="Times New Roman" w:cs="Times New Roman"/>
          <w:color w:val="000000" w:themeColor="text1"/>
          <w:sz w:val="24"/>
          <w:szCs w:val="24"/>
          <w:u w:val="none"/>
        </w:rPr>
        <w:t>s</w:t>
      </w:r>
      <w:r>
        <w:rPr>
          <w:rStyle w:val="Hyperlink"/>
          <w:rFonts w:ascii="Times New Roman" w:hAnsi="Times New Roman" w:cs="Times New Roman"/>
          <w:color w:val="000000" w:themeColor="text1"/>
          <w:sz w:val="24"/>
          <w:szCs w:val="24"/>
          <w:u w:val="none"/>
        </w:rPr>
        <w:t xml:space="preserve"> Mesorregi</w:t>
      </w:r>
      <w:r w:rsidR="00460991">
        <w:rPr>
          <w:rStyle w:val="Hyperlink"/>
          <w:rFonts w:ascii="Times New Roman" w:hAnsi="Times New Roman" w:cs="Times New Roman"/>
          <w:color w:val="000000" w:themeColor="text1"/>
          <w:sz w:val="24"/>
          <w:szCs w:val="24"/>
          <w:u w:val="none"/>
        </w:rPr>
        <w:t>ões</w:t>
      </w:r>
      <w:r>
        <w:rPr>
          <w:rStyle w:val="Hyperlink"/>
          <w:rFonts w:ascii="Times New Roman" w:hAnsi="Times New Roman" w:cs="Times New Roman"/>
          <w:color w:val="000000" w:themeColor="text1"/>
          <w:sz w:val="24"/>
          <w:szCs w:val="24"/>
          <w:u w:val="none"/>
        </w:rPr>
        <w:t xml:space="preserve"> do São Francisco</w:t>
      </w:r>
      <w:r w:rsidR="00460991">
        <w:rPr>
          <w:rStyle w:val="Hyperlink"/>
          <w:rFonts w:ascii="Times New Roman" w:hAnsi="Times New Roman" w:cs="Times New Roman"/>
          <w:color w:val="000000" w:themeColor="text1"/>
          <w:sz w:val="24"/>
          <w:szCs w:val="24"/>
          <w:u w:val="none"/>
        </w:rPr>
        <w:t xml:space="preserve"> e do Agreste</w:t>
      </w:r>
      <w:r>
        <w:rPr>
          <w:rStyle w:val="Hyperlink"/>
          <w:rFonts w:ascii="Times New Roman" w:hAnsi="Times New Roman" w:cs="Times New Roman"/>
          <w:color w:val="000000" w:themeColor="text1"/>
          <w:sz w:val="24"/>
          <w:szCs w:val="24"/>
          <w:u w:val="none"/>
        </w:rPr>
        <w:t xml:space="preserve"> obt</w:t>
      </w:r>
      <w:r w:rsidR="00460991">
        <w:rPr>
          <w:rStyle w:val="Hyperlink"/>
          <w:rFonts w:ascii="Times New Roman" w:hAnsi="Times New Roman" w:cs="Times New Roman"/>
          <w:color w:val="000000" w:themeColor="text1"/>
          <w:sz w:val="24"/>
          <w:szCs w:val="24"/>
          <w:u w:val="none"/>
        </w:rPr>
        <w:t>iveram</w:t>
      </w:r>
      <w:r>
        <w:rPr>
          <w:rStyle w:val="Hyperlink"/>
          <w:rFonts w:ascii="Times New Roman" w:hAnsi="Times New Roman" w:cs="Times New Roman"/>
          <w:color w:val="000000" w:themeColor="text1"/>
          <w:sz w:val="24"/>
          <w:szCs w:val="24"/>
          <w:u w:val="none"/>
        </w:rPr>
        <w:t xml:space="preserve"> o maior crescimento de 200</w:t>
      </w:r>
      <w:r w:rsidR="001B2020">
        <w:rPr>
          <w:rStyle w:val="Hyperlink"/>
          <w:rFonts w:ascii="Times New Roman" w:hAnsi="Times New Roman" w:cs="Times New Roman"/>
          <w:color w:val="000000" w:themeColor="text1"/>
          <w:sz w:val="24"/>
          <w:szCs w:val="24"/>
          <w:u w:val="none"/>
        </w:rPr>
        <w:t>0</w:t>
      </w:r>
      <w:r>
        <w:rPr>
          <w:rStyle w:val="Hyperlink"/>
          <w:rFonts w:ascii="Times New Roman" w:hAnsi="Times New Roman" w:cs="Times New Roman"/>
          <w:color w:val="000000" w:themeColor="text1"/>
          <w:sz w:val="24"/>
          <w:szCs w:val="24"/>
          <w:u w:val="none"/>
        </w:rPr>
        <w:t>-2012, e o setor de Serviços é o setor que mais agrega valor ao produto</w:t>
      </w:r>
      <w:r w:rsidR="00802AA2">
        <w:rPr>
          <w:rStyle w:val="Hyperlink"/>
          <w:rFonts w:ascii="Times New Roman" w:hAnsi="Times New Roman" w:cs="Times New Roman"/>
          <w:color w:val="000000" w:themeColor="text1"/>
          <w:sz w:val="24"/>
          <w:szCs w:val="24"/>
          <w:u w:val="none"/>
        </w:rPr>
        <w:t xml:space="preserve"> pernambucano. </w:t>
      </w:r>
      <w:r w:rsidR="00BA654C">
        <w:rPr>
          <w:rStyle w:val="Hyperlink"/>
          <w:rFonts w:ascii="Times New Roman" w:hAnsi="Times New Roman" w:cs="Times New Roman"/>
          <w:color w:val="000000" w:themeColor="text1"/>
          <w:sz w:val="24"/>
          <w:szCs w:val="24"/>
          <w:u w:val="none"/>
        </w:rPr>
        <w:t xml:space="preserve">Como observado anteriormente, o setor de serviços foi o que mais influenciou a economia de Pernambuco nos últimos anos, </w:t>
      </w:r>
      <w:r w:rsidR="00A17BED">
        <w:rPr>
          <w:rStyle w:val="Hyperlink"/>
          <w:rFonts w:ascii="Times New Roman" w:hAnsi="Times New Roman" w:cs="Times New Roman"/>
          <w:color w:val="000000" w:themeColor="text1"/>
          <w:sz w:val="24"/>
          <w:szCs w:val="24"/>
          <w:u w:val="none"/>
        </w:rPr>
        <w:t>sendo tal participação muito elevada para sustentar o crescimento, setor esse que conta com segmentos do terciário moderno, que acaba por agregar valor em suas atividades, como por exemplo, os serviços de telefonia e outros ramos das comunicações (LIMA; SICSÚ; PADILHA, 2007).</w:t>
      </w:r>
    </w:p>
    <w:p w:rsidR="00E8794D" w:rsidRDefault="007E02DE" w:rsidP="00E8794D">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53579C">
        <w:rPr>
          <w:rFonts w:ascii="Times New Roman" w:hAnsi="Times New Roman"/>
          <w:sz w:val="24"/>
          <w:szCs w:val="24"/>
        </w:rPr>
        <w:t>De acordo com o Censo Demográfico (2010) no ano de 2000</w:t>
      </w:r>
      <w:r w:rsidR="008B2B94">
        <w:rPr>
          <w:rFonts w:ascii="Times New Roman" w:hAnsi="Times New Roman"/>
          <w:sz w:val="24"/>
          <w:szCs w:val="24"/>
        </w:rPr>
        <w:t>,</w:t>
      </w:r>
      <w:r w:rsidR="0053579C">
        <w:rPr>
          <w:rFonts w:ascii="Times New Roman" w:hAnsi="Times New Roman"/>
          <w:sz w:val="24"/>
          <w:szCs w:val="24"/>
        </w:rPr>
        <w:t xml:space="preserve"> 23% da população pernambucana residia na área rural, já em 2010 esse percentual passou para 20%.</w:t>
      </w:r>
      <w:r w:rsidR="0074799D">
        <w:rPr>
          <w:rFonts w:ascii="Times New Roman" w:hAnsi="Times New Roman"/>
          <w:sz w:val="24"/>
          <w:szCs w:val="24"/>
        </w:rPr>
        <w:t xml:space="preserve"> Movimentação justificada pela atração de mão de obra para regiões mais desenvolvidas, como a Metropolitana de Recife.</w:t>
      </w:r>
      <w:r w:rsidR="0053579C">
        <w:rPr>
          <w:rFonts w:ascii="Times New Roman" w:hAnsi="Times New Roman"/>
          <w:sz w:val="24"/>
          <w:szCs w:val="24"/>
        </w:rPr>
        <w:t xml:space="preserve"> </w:t>
      </w:r>
      <w:r w:rsidR="0074799D">
        <w:rPr>
          <w:rFonts w:ascii="Times New Roman" w:hAnsi="Times New Roman"/>
          <w:sz w:val="24"/>
          <w:szCs w:val="24"/>
        </w:rPr>
        <w:t>É o que pode ser verificado n</w:t>
      </w:r>
      <w:r w:rsidR="006E03B8">
        <w:rPr>
          <w:rFonts w:ascii="Times New Roman" w:hAnsi="Times New Roman"/>
          <w:sz w:val="24"/>
          <w:szCs w:val="24"/>
        </w:rPr>
        <w:t>o</w:t>
      </w:r>
      <w:r w:rsidR="0074799D">
        <w:rPr>
          <w:rFonts w:ascii="Times New Roman" w:hAnsi="Times New Roman"/>
          <w:sz w:val="24"/>
          <w:szCs w:val="24"/>
        </w:rPr>
        <w:t xml:space="preserve"> </w:t>
      </w:r>
      <w:r w:rsidR="006E03B8">
        <w:rPr>
          <w:rFonts w:ascii="Times New Roman" w:hAnsi="Times New Roman"/>
          <w:sz w:val="24"/>
          <w:szCs w:val="24"/>
        </w:rPr>
        <w:t>Gráfico 2</w:t>
      </w:r>
      <w:r w:rsidR="0074799D">
        <w:rPr>
          <w:rFonts w:ascii="Times New Roman" w:hAnsi="Times New Roman"/>
          <w:sz w:val="24"/>
          <w:szCs w:val="24"/>
        </w:rPr>
        <w:t xml:space="preserve">, a qual </w:t>
      </w:r>
      <w:r w:rsidR="00BD6F91">
        <w:rPr>
          <w:rFonts w:ascii="Times New Roman" w:hAnsi="Times New Roman"/>
          <w:sz w:val="24"/>
          <w:szCs w:val="24"/>
        </w:rPr>
        <w:t xml:space="preserve">apresenta a distribuição da população pernambucana, onde a mesorregião Metropolitana é a mais urbanizada, já o Sertão e o São Francisco possuem 40% de sua população residente na área rural.    </w:t>
      </w:r>
    </w:p>
    <w:p w:rsidR="00F83D9B" w:rsidRDefault="00F83D9B" w:rsidP="00E8794D">
      <w:pPr>
        <w:spacing w:line="240" w:lineRule="auto"/>
        <w:ind w:firstLine="709"/>
        <w:jc w:val="both"/>
        <w:rPr>
          <w:rFonts w:ascii="Times New Roman" w:hAnsi="Times New Roman"/>
          <w:sz w:val="24"/>
          <w:szCs w:val="24"/>
        </w:rPr>
      </w:pPr>
    </w:p>
    <w:p w:rsidR="00BD6F91" w:rsidRPr="009D5747" w:rsidRDefault="006E03B8" w:rsidP="00F83D9B">
      <w:pPr>
        <w:spacing w:line="240" w:lineRule="auto"/>
        <w:ind w:firstLine="709"/>
        <w:jc w:val="center"/>
        <w:rPr>
          <w:rFonts w:ascii="Times New Roman" w:hAnsi="Times New Roman"/>
        </w:rPr>
      </w:pPr>
      <w:r w:rsidRPr="006E03B8">
        <w:rPr>
          <w:rFonts w:ascii="Times New Roman" w:hAnsi="Times New Roman"/>
        </w:rPr>
        <w:t>Gráfico 2</w:t>
      </w:r>
      <w:r w:rsidR="00BD6F91" w:rsidRPr="006E03B8">
        <w:rPr>
          <w:rFonts w:ascii="Times New Roman" w:hAnsi="Times New Roman"/>
        </w:rPr>
        <w:t xml:space="preserve"> – Porcentagem</w:t>
      </w:r>
      <w:r w:rsidR="00BD6F91" w:rsidRPr="009D5747">
        <w:rPr>
          <w:rFonts w:ascii="Times New Roman" w:hAnsi="Times New Roman"/>
        </w:rPr>
        <w:t xml:space="preserve"> da população residente na área urbana e rural</w:t>
      </w:r>
    </w:p>
    <w:p w:rsidR="00BD6F91" w:rsidRDefault="00BD6F91" w:rsidP="00BD6F91">
      <w:pPr>
        <w:spacing w:after="0" w:line="240" w:lineRule="auto"/>
        <w:jc w:val="center"/>
        <w:rPr>
          <w:rFonts w:ascii="Times New Roman" w:hAnsi="Times New Roman"/>
          <w:sz w:val="24"/>
          <w:szCs w:val="24"/>
        </w:rPr>
      </w:pPr>
      <w:r w:rsidRPr="002842C2">
        <w:rPr>
          <w:rFonts w:ascii="Times New Roman" w:hAnsi="Times New Roman"/>
          <w:noProof/>
          <w:sz w:val="24"/>
          <w:szCs w:val="24"/>
          <w:lang w:eastAsia="pt-BR"/>
        </w:rPr>
        <w:drawing>
          <wp:inline distT="0" distB="0" distL="0" distR="0">
            <wp:extent cx="4409827" cy="2210462"/>
            <wp:effectExtent l="19050" t="0" r="9773"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D6F91" w:rsidRPr="00E068DD" w:rsidRDefault="00BD6F91" w:rsidP="00BD6F91">
      <w:pPr>
        <w:pStyle w:val="Tabela1"/>
        <w:ind w:right="639"/>
        <w:jc w:val="center"/>
        <w:rPr>
          <w:b w:val="0"/>
          <w:sz w:val="20"/>
          <w:szCs w:val="20"/>
        </w:rPr>
      </w:pPr>
      <w:r w:rsidRPr="000B30F0">
        <w:rPr>
          <w:b w:val="0"/>
          <w:sz w:val="20"/>
          <w:szCs w:val="20"/>
        </w:rPr>
        <w:t>Fonte: Elaboração</w:t>
      </w:r>
      <w:r w:rsidRPr="00560173">
        <w:rPr>
          <w:b w:val="0"/>
          <w:sz w:val="20"/>
          <w:szCs w:val="20"/>
        </w:rPr>
        <w:t xml:space="preserve"> das autoras a partir dos dados do Atlas do Desenvolvimento Humano</w:t>
      </w:r>
      <w:r>
        <w:rPr>
          <w:b w:val="0"/>
          <w:sz w:val="20"/>
          <w:szCs w:val="20"/>
        </w:rPr>
        <w:t xml:space="preserve"> 2013</w:t>
      </w:r>
      <w:r w:rsidRPr="00E068DD">
        <w:rPr>
          <w:b w:val="0"/>
          <w:sz w:val="20"/>
          <w:szCs w:val="20"/>
        </w:rPr>
        <w:t>.</w:t>
      </w:r>
    </w:p>
    <w:p w:rsidR="00BD6F91" w:rsidRDefault="00BD6F91" w:rsidP="00BD6F91">
      <w:pPr>
        <w:spacing w:after="0" w:line="240" w:lineRule="auto"/>
        <w:ind w:firstLine="709"/>
        <w:jc w:val="both"/>
        <w:rPr>
          <w:rFonts w:ascii="Times New Roman" w:hAnsi="Times New Roman"/>
          <w:sz w:val="24"/>
          <w:szCs w:val="24"/>
        </w:rPr>
      </w:pPr>
    </w:p>
    <w:p w:rsidR="00BD6F91" w:rsidRDefault="00BD6F91" w:rsidP="00F83D9B">
      <w:pPr>
        <w:spacing w:after="0" w:line="240" w:lineRule="auto"/>
        <w:ind w:firstLine="709"/>
        <w:jc w:val="both"/>
        <w:rPr>
          <w:rFonts w:ascii="Times New Roman" w:hAnsi="Times New Roman"/>
          <w:sz w:val="24"/>
          <w:szCs w:val="24"/>
        </w:rPr>
      </w:pPr>
      <w:r>
        <w:rPr>
          <w:rFonts w:ascii="Times New Roman" w:hAnsi="Times New Roman"/>
          <w:sz w:val="24"/>
          <w:szCs w:val="24"/>
        </w:rPr>
        <w:t>N</w:t>
      </w:r>
      <w:r w:rsidR="008B2569">
        <w:rPr>
          <w:rFonts w:ascii="Times New Roman" w:hAnsi="Times New Roman"/>
          <w:sz w:val="24"/>
          <w:szCs w:val="24"/>
        </w:rPr>
        <w:t>o</w:t>
      </w:r>
      <w:r>
        <w:rPr>
          <w:rFonts w:ascii="Times New Roman" w:hAnsi="Times New Roman"/>
          <w:sz w:val="24"/>
          <w:szCs w:val="24"/>
        </w:rPr>
        <w:t xml:space="preserve"> </w:t>
      </w:r>
      <w:r w:rsidR="008B2569">
        <w:rPr>
          <w:rFonts w:ascii="Times New Roman" w:hAnsi="Times New Roman"/>
          <w:sz w:val="24"/>
          <w:szCs w:val="24"/>
        </w:rPr>
        <w:t>Gráfico 3</w:t>
      </w:r>
      <w:r>
        <w:rPr>
          <w:rFonts w:ascii="Times New Roman" w:hAnsi="Times New Roman"/>
          <w:sz w:val="24"/>
          <w:szCs w:val="24"/>
        </w:rPr>
        <w:t xml:space="preserve"> observa-se que dentre os moradores que possuem abastecimento inadequado de água e esgotamento sanitário, a área rural do Agreste Pernambucano destaca-se por ser detentora da maior parcela frente a área urbana e mais alta dentre as mesorregiões pernambucanas. Tal resultado refere-se a razão entre as pessoas que vivem em domicilio cujo abastecimento de água não </w:t>
      </w:r>
      <w:r w:rsidR="000B30F0">
        <w:rPr>
          <w:rFonts w:ascii="Times New Roman" w:hAnsi="Times New Roman"/>
          <w:sz w:val="24"/>
          <w:szCs w:val="24"/>
        </w:rPr>
        <w:t>fornecido pela</w:t>
      </w:r>
      <w:r>
        <w:rPr>
          <w:rFonts w:ascii="Times New Roman" w:hAnsi="Times New Roman"/>
          <w:sz w:val="24"/>
          <w:szCs w:val="24"/>
        </w:rPr>
        <w:t xml:space="preserve"> rede de abastecimento e cujo esgotamento sanitário não é realizado por rede geral de esgoto ou fossa séptica e a população total residente em domicílios particulares permanentes multiplicados por 100. </w:t>
      </w:r>
    </w:p>
    <w:p w:rsidR="00F83D9B" w:rsidRDefault="00F83D9B" w:rsidP="00F83D9B">
      <w:pPr>
        <w:spacing w:after="0" w:line="240" w:lineRule="auto"/>
        <w:ind w:firstLine="709"/>
        <w:jc w:val="both"/>
        <w:rPr>
          <w:rFonts w:ascii="Times New Roman" w:hAnsi="Times New Roman"/>
          <w:sz w:val="24"/>
          <w:szCs w:val="24"/>
        </w:rPr>
      </w:pPr>
    </w:p>
    <w:p w:rsidR="00BD6F91" w:rsidRPr="009D5747" w:rsidRDefault="00F339F0" w:rsidP="00BD6F91">
      <w:pPr>
        <w:spacing w:after="0" w:line="240" w:lineRule="auto"/>
        <w:jc w:val="center"/>
        <w:rPr>
          <w:rFonts w:ascii="Times New Roman" w:hAnsi="Times New Roman"/>
        </w:rPr>
      </w:pPr>
      <w:r w:rsidRPr="00F339F0">
        <w:rPr>
          <w:rFonts w:ascii="Times New Roman" w:hAnsi="Times New Roman"/>
        </w:rPr>
        <w:t>Gráfico 3</w:t>
      </w:r>
      <w:r w:rsidR="00BD6F91" w:rsidRPr="00F339F0">
        <w:rPr>
          <w:rFonts w:ascii="Times New Roman" w:hAnsi="Times New Roman"/>
        </w:rPr>
        <w:t xml:space="preserve"> – Porcentagem de pessoas em domicilio com abastecimento de água e esgotamento</w:t>
      </w:r>
      <w:r w:rsidR="00BD6F91" w:rsidRPr="009D5747">
        <w:rPr>
          <w:rFonts w:ascii="Times New Roman" w:hAnsi="Times New Roman"/>
        </w:rPr>
        <w:t xml:space="preserve"> sanitário inadequado</w:t>
      </w:r>
    </w:p>
    <w:p w:rsidR="00BD6F91" w:rsidRDefault="00BD6F91" w:rsidP="00BD6F91">
      <w:pPr>
        <w:spacing w:after="0" w:line="240" w:lineRule="auto"/>
        <w:jc w:val="center"/>
        <w:rPr>
          <w:rFonts w:ascii="Times New Roman" w:hAnsi="Times New Roman"/>
          <w:sz w:val="24"/>
          <w:szCs w:val="24"/>
        </w:rPr>
      </w:pPr>
      <w:r w:rsidRPr="002842C2">
        <w:rPr>
          <w:rFonts w:ascii="Times New Roman" w:hAnsi="Times New Roman"/>
          <w:noProof/>
          <w:sz w:val="24"/>
          <w:szCs w:val="24"/>
          <w:lang w:eastAsia="pt-BR"/>
        </w:rPr>
        <w:drawing>
          <wp:inline distT="0" distB="0" distL="0" distR="0">
            <wp:extent cx="4330313" cy="2218414"/>
            <wp:effectExtent l="19050" t="0" r="13087"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6F91" w:rsidRPr="00E068DD" w:rsidRDefault="00BD6F91" w:rsidP="00BD6F91">
      <w:pPr>
        <w:pStyle w:val="Tabela1"/>
        <w:ind w:right="639"/>
        <w:jc w:val="center"/>
        <w:rPr>
          <w:b w:val="0"/>
          <w:sz w:val="20"/>
          <w:szCs w:val="20"/>
        </w:rPr>
      </w:pPr>
      <w:r>
        <w:tab/>
      </w:r>
      <w:r w:rsidRPr="00C87540">
        <w:rPr>
          <w:b w:val="0"/>
          <w:sz w:val="20"/>
          <w:szCs w:val="20"/>
        </w:rPr>
        <w:t>Fonte: Elaboração</w:t>
      </w:r>
      <w:r w:rsidRPr="00560173">
        <w:rPr>
          <w:b w:val="0"/>
          <w:sz w:val="20"/>
          <w:szCs w:val="20"/>
        </w:rPr>
        <w:t xml:space="preserve"> das autoras a partir dos dados do Atlas do Desenvolvimento Humano</w:t>
      </w:r>
      <w:r>
        <w:rPr>
          <w:b w:val="0"/>
          <w:sz w:val="20"/>
          <w:szCs w:val="20"/>
        </w:rPr>
        <w:t xml:space="preserve"> 2013</w:t>
      </w:r>
      <w:r w:rsidRPr="00E068DD">
        <w:rPr>
          <w:b w:val="0"/>
          <w:sz w:val="20"/>
          <w:szCs w:val="20"/>
        </w:rPr>
        <w:t>.</w:t>
      </w:r>
    </w:p>
    <w:p w:rsidR="00BD6F91" w:rsidRDefault="00BD6F91" w:rsidP="00F83D9B">
      <w:pPr>
        <w:spacing w:after="0" w:line="240" w:lineRule="auto"/>
        <w:jc w:val="both"/>
        <w:rPr>
          <w:rStyle w:val="Hyperlink"/>
          <w:rFonts w:ascii="Times New Roman" w:hAnsi="Times New Roman" w:cs="Times New Roman"/>
          <w:b/>
          <w:color w:val="000000" w:themeColor="text1"/>
          <w:sz w:val="24"/>
          <w:szCs w:val="24"/>
          <w:u w:val="none"/>
        </w:rPr>
      </w:pPr>
    </w:p>
    <w:p w:rsidR="00BD6F91" w:rsidRDefault="007E1AEE" w:rsidP="00BD6F9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Com relação à </w:t>
      </w:r>
      <w:r w:rsidR="00BD6F91">
        <w:rPr>
          <w:rFonts w:ascii="Times New Roman" w:hAnsi="Times New Roman"/>
          <w:sz w:val="24"/>
          <w:szCs w:val="24"/>
        </w:rPr>
        <w:t>taxa de analfabetismo</w:t>
      </w:r>
      <w:r>
        <w:rPr>
          <w:rFonts w:ascii="Times New Roman" w:hAnsi="Times New Roman"/>
          <w:sz w:val="24"/>
          <w:szCs w:val="24"/>
        </w:rPr>
        <w:t>, verifica-se no Gráfico 4 para as</w:t>
      </w:r>
      <w:r w:rsidR="00BD6F91">
        <w:rPr>
          <w:rFonts w:ascii="Times New Roman" w:hAnsi="Times New Roman"/>
          <w:sz w:val="24"/>
          <w:szCs w:val="24"/>
        </w:rPr>
        <w:t xml:space="preserve"> pessoas </w:t>
      </w:r>
      <w:r>
        <w:rPr>
          <w:rFonts w:ascii="Times New Roman" w:hAnsi="Times New Roman"/>
          <w:sz w:val="24"/>
          <w:szCs w:val="24"/>
        </w:rPr>
        <w:t>d</w:t>
      </w:r>
      <w:r w:rsidR="00BD6F91">
        <w:rPr>
          <w:rFonts w:ascii="Times New Roman" w:hAnsi="Times New Roman"/>
          <w:sz w:val="24"/>
          <w:szCs w:val="24"/>
        </w:rPr>
        <w:t>e 15 anos ou mais</w:t>
      </w:r>
      <w:r w:rsidR="006B61FE">
        <w:rPr>
          <w:rFonts w:ascii="Times New Roman" w:hAnsi="Times New Roman"/>
          <w:sz w:val="24"/>
          <w:szCs w:val="24"/>
        </w:rPr>
        <w:t>, que</w:t>
      </w:r>
      <w:r w:rsidR="00BD6F91">
        <w:rPr>
          <w:rFonts w:ascii="Times New Roman" w:hAnsi="Times New Roman"/>
          <w:sz w:val="24"/>
          <w:szCs w:val="24"/>
        </w:rPr>
        <w:t xml:space="preserve"> é maior no agreste Pernambucano rural, sendo a RMR a mesorregião com a</w:t>
      </w:r>
      <w:r w:rsidR="006B61FE">
        <w:rPr>
          <w:rFonts w:ascii="Times New Roman" w:hAnsi="Times New Roman"/>
          <w:sz w:val="24"/>
          <w:szCs w:val="24"/>
        </w:rPr>
        <w:t>s</w:t>
      </w:r>
      <w:r w:rsidR="00BD6F91">
        <w:rPr>
          <w:rFonts w:ascii="Times New Roman" w:hAnsi="Times New Roman"/>
          <w:sz w:val="24"/>
          <w:szCs w:val="24"/>
        </w:rPr>
        <w:t xml:space="preserve"> menor</w:t>
      </w:r>
      <w:r w:rsidR="006B61FE">
        <w:rPr>
          <w:rFonts w:ascii="Times New Roman" w:hAnsi="Times New Roman"/>
          <w:sz w:val="24"/>
          <w:szCs w:val="24"/>
        </w:rPr>
        <w:t>es</w:t>
      </w:r>
      <w:r w:rsidR="00BD6F91">
        <w:rPr>
          <w:rFonts w:ascii="Times New Roman" w:hAnsi="Times New Roman"/>
          <w:sz w:val="24"/>
          <w:szCs w:val="24"/>
        </w:rPr>
        <w:t xml:space="preserve"> taxa</w:t>
      </w:r>
      <w:r w:rsidR="006B61FE">
        <w:rPr>
          <w:rFonts w:ascii="Times New Roman" w:hAnsi="Times New Roman"/>
          <w:sz w:val="24"/>
          <w:szCs w:val="24"/>
        </w:rPr>
        <w:t>s</w:t>
      </w:r>
      <w:r w:rsidR="00BD6F91">
        <w:rPr>
          <w:rFonts w:ascii="Times New Roman" w:hAnsi="Times New Roman"/>
          <w:sz w:val="24"/>
          <w:szCs w:val="24"/>
        </w:rPr>
        <w:t xml:space="preserve">. A taxa de analfabetismo é a razão entre a população de 15 anos ou mais de idade que não sabe ler nem escrever um bilhete simples e o total de pessoas nesta faixa etária multiplicado por 100. </w:t>
      </w:r>
    </w:p>
    <w:p w:rsidR="009C0E0E" w:rsidRDefault="009C0E0E" w:rsidP="0055244D">
      <w:pPr>
        <w:spacing w:before="240" w:after="0" w:line="240" w:lineRule="auto"/>
        <w:ind w:firstLine="709"/>
        <w:jc w:val="both"/>
        <w:rPr>
          <w:rFonts w:ascii="Times New Roman" w:hAnsi="Times New Roman"/>
          <w:sz w:val="24"/>
          <w:szCs w:val="24"/>
        </w:rPr>
      </w:pPr>
      <w:r>
        <w:rPr>
          <w:rFonts w:ascii="Times New Roman" w:hAnsi="Times New Roman"/>
          <w:sz w:val="24"/>
          <w:szCs w:val="24"/>
        </w:rPr>
        <w:t xml:space="preserve">As mesorregiões pernambucanas estão inseridas em um </w:t>
      </w:r>
      <w:r w:rsidR="0055244D">
        <w:rPr>
          <w:rFonts w:ascii="Times New Roman" w:hAnsi="Times New Roman"/>
          <w:sz w:val="24"/>
          <w:szCs w:val="24"/>
        </w:rPr>
        <w:t>ciclo</w:t>
      </w:r>
      <w:r>
        <w:rPr>
          <w:rFonts w:ascii="Times New Roman" w:hAnsi="Times New Roman"/>
          <w:sz w:val="24"/>
          <w:szCs w:val="24"/>
        </w:rPr>
        <w:t xml:space="preserve"> vicioso de baixa escolaridade. Onde a população dos sete aos quatorze anos de idade deveriam estar desenvolvendo suas habilidades e competências básicas</w:t>
      </w:r>
      <w:r w:rsidR="00292F17">
        <w:rPr>
          <w:rFonts w:ascii="Times New Roman" w:hAnsi="Times New Roman"/>
          <w:sz w:val="24"/>
          <w:szCs w:val="24"/>
        </w:rPr>
        <w:t xml:space="preserve">. Ao proporcionar uma boa formação para a população nessa faixa etária, </w:t>
      </w:r>
      <w:r w:rsidR="0055244D">
        <w:rPr>
          <w:rFonts w:ascii="Times New Roman" w:hAnsi="Times New Roman"/>
          <w:sz w:val="24"/>
          <w:szCs w:val="24"/>
        </w:rPr>
        <w:t xml:space="preserve">são eliminados os riscos de uma geração, não apenas de analfabetos, mas de analfabetos funcionais, tendo, no futuro, trabalhadores mais produtivos (SILVA JÚNIOR; SOBRAL; SANTANA, </w:t>
      </w:r>
      <w:r w:rsidR="00D1392B">
        <w:rPr>
          <w:rFonts w:ascii="Times New Roman" w:hAnsi="Times New Roman"/>
          <w:sz w:val="24"/>
          <w:szCs w:val="24"/>
        </w:rPr>
        <w:t>2012).</w:t>
      </w:r>
    </w:p>
    <w:p w:rsidR="00BD6F91" w:rsidRDefault="00BD6F91" w:rsidP="00BD6F91">
      <w:pPr>
        <w:spacing w:after="0" w:line="240" w:lineRule="auto"/>
        <w:rPr>
          <w:rFonts w:ascii="Times New Roman" w:hAnsi="Times New Roman"/>
          <w:b/>
          <w:sz w:val="24"/>
          <w:szCs w:val="24"/>
        </w:rPr>
      </w:pPr>
    </w:p>
    <w:p w:rsidR="00BD6F91" w:rsidRPr="009D5747" w:rsidRDefault="00BC3580" w:rsidP="00BD6F91">
      <w:pPr>
        <w:spacing w:after="0" w:line="240" w:lineRule="auto"/>
        <w:jc w:val="center"/>
        <w:rPr>
          <w:rFonts w:ascii="Times New Roman" w:hAnsi="Times New Roman"/>
          <w:b/>
        </w:rPr>
      </w:pPr>
      <w:r w:rsidRPr="00BC3580">
        <w:rPr>
          <w:rFonts w:ascii="Times New Roman" w:hAnsi="Times New Roman"/>
        </w:rPr>
        <w:t>Gráfico 4</w:t>
      </w:r>
      <w:r w:rsidR="00BD6F91" w:rsidRPr="00BC3580">
        <w:rPr>
          <w:rFonts w:ascii="Times New Roman" w:hAnsi="Times New Roman"/>
        </w:rPr>
        <w:t xml:space="preserve"> – Taxa</w:t>
      </w:r>
      <w:r w:rsidR="00BD6F91" w:rsidRPr="009D5747">
        <w:rPr>
          <w:rFonts w:ascii="Times New Roman" w:hAnsi="Times New Roman"/>
        </w:rPr>
        <w:t xml:space="preserve"> de analfabetismo 15 anos ou mais </w:t>
      </w:r>
    </w:p>
    <w:p w:rsidR="00BD6F91" w:rsidRPr="00361DC0" w:rsidRDefault="00BD6F91" w:rsidP="00D05756">
      <w:pPr>
        <w:spacing w:after="0"/>
        <w:jc w:val="center"/>
        <w:rPr>
          <w:rFonts w:eastAsia="Times New Roman"/>
          <w:lang w:eastAsia="pt-BR"/>
        </w:rPr>
      </w:pPr>
      <w:r w:rsidRPr="00422A9F">
        <w:rPr>
          <w:noProof/>
          <w:lang w:eastAsia="pt-BR"/>
        </w:rPr>
        <w:drawing>
          <wp:inline distT="0" distB="0" distL="0" distR="0">
            <wp:extent cx="4447732" cy="2392325"/>
            <wp:effectExtent l="19050" t="0" r="9968" b="7975"/>
            <wp:docPr id="1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6F91" w:rsidRPr="00E068DD" w:rsidRDefault="00BD6F91" w:rsidP="00BD6F91">
      <w:pPr>
        <w:pStyle w:val="Tabela1"/>
        <w:ind w:right="639"/>
        <w:jc w:val="center"/>
        <w:rPr>
          <w:b w:val="0"/>
          <w:sz w:val="20"/>
          <w:szCs w:val="20"/>
        </w:rPr>
      </w:pPr>
      <w:r w:rsidRPr="00563327">
        <w:rPr>
          <w:sz w:val="18"/>
          <w:szCs w:val="18"/>
        </w:rPr>
        <w:t xml:space="preserve">   </w:t>
      </w:r>
      <w:r w:rsidRPr="00C87540">
        <w:rPr>
          <w:b w:val="0"/>
          <w:sz w:val="20"/>
          <w:szCs w:val="20"/>
        </w:rPr>
        <w:t>Fonte: Elaboração</w:t>
      </w:r>
      <w:r w:rsidRPr="00560173">
        <w:rPr>
          <w:b w:val="0"/>
          <w:sz w:val="20"/>
          <w:szCs w:val="20"/>
        </w:rPr>
        <w:t xml:space="preserve"> das autoras a partir dos dados do Atlas do Desenvolvimento Humano</w:t>
      </w:r>
      <w:r>
        <w:rPr>
          <w:b w:val="0"/>
          <w:sz w:val="20"/>
          <w:szCs w:val="20"/>
        </w:rPr>
        <w:t xml:space="preserve"> 2013</w:t>
      </w:r>
      <w:r w:rsidRPr="00E068DD">
        <w:rPr>
          <w:b w:val="0"/>
          <w:sz w:val="20"/>
          <w:szCs w:val="20"/>
        </w:rPr>
        <w:t>.</w:t>
      </w:r>
    </w:p>
    <w:p w:rsidR="00BD6F91" w:rsidRDefault="00BD6F91" w:rsidP="00BD6F91">
      <w:pPr>
        <w:spacing w:after="0" w:line="240" w:lineRule="auto"/>
        <w:ind w:firstLine="709"/>
        <w:jc w:val="both"/>
        <w:rPr>
          <w:rFonts w:ascii="Times New Roman" w:hAnsi="Times New Roman"/>
          <w:sz w:val="24"/>
          <w:szCs w:val="24"/>
        </w:rPr>
      </w:pPr>
    </w:p>
    <w:p w:rsidR="00942106" w:rsidRDefault="00BD6F91" w:rsidP="00F83D9B">
      <w:pPr>
        <w:spacing w:after="0" w:line="240" w:lineRule="auto"/>
        <w:ind w:firstLine="709"/>
        <w:jc w:val="both"/>
        <w:rPr>
          <w:rFonts w:ascii="Times New Roman" w:hAnsi="Times New Roman"/>
          <w:sz w:val="24"/>
          <w:szCs w:val="24"/>
        </w:rPr>
      </w:pPr>
      <w:r>
        <w:rPr>
          <w:rFonts w:ascii="Times New Roman" w:hAnsi="Times New Roman"/>
          <w:sz w:val="24"/>
          <w:szCs w:val="24"/>
        </w:rPr>
        <w:t xml:space="preserve">A relação dos indivíduos com renda domiciliar </w:t>
      </w:r>
      <w:r>
        <w:rPr>
          <w:rFonts w:ascii="Times New Roman" w:hAnsi="Times New Roman"/>
          <w:i/>
          <w:sz w:val="24"/>
          <w:szCs w:val="24"/>
        </w:rPr>
        <w:t xml:space="preserve">per capita </w:t>
      </w:r>
      <w:r>
        <w:rPr>
          <w:rFonts w:ascii="Times New Roman" w:hAnsi="Times New Roman"/>
          <w:sz w:val="24"/>
          <w:szCs w:val="24"/>
        </w:rPr>
        <w:t>igual ou inferior a R$ 70,00 mensais, em Reais de agosto de 2010 n</w:t>
      </w:r>
      <w:r w:rsidR="00BC3580">
        <w:rPr>
          <w:rFonts w:ascii="Times New Roman" w:hAnsi="Times New Roman"/>
          <w:sz w:val="24"/>
          <w:szCs w:val="24"/>
        </w:rPr>
        <w:t>o Gráfico</w:t>
      </w:r>
      <w:r>
        <w:rPr>
          <w:rFonts w:ascii="Times New Roman" w:hAnsi="Times New Roman"/>
          <w:sz w:val="24"/>
          <w:szCs w:val="24"/>
        </w:rPr>
        <w:t xml:space="preserve"> 5 é maior no Sertão Pernambucano, tanto na área rural quanto na urbana, sendo a primeira mais alta que a segunda. </w:t>
      </w:r>
      <w:r w:rsidR="00942106">
        <w:rPr>
          <w:rFonts w:ascii="Times New Roman" w:hAnsi="Times New Roman"/>
          <w:sz w:val="24"/>
          <w:szCs w:val="24"/>
        </w:rPr>
        <w:t xml:space="preserve">Segundo </w:t>
      </w:r>
      <w:r w:rsidR="00942106" w:rsidRPr="00A73633">
        <w:rPr>
          <w:rFonts w:ascii="Times New Roman" w:hAnsi="Times New Roman"/>
          <w:sz w:val="24"/>
          <w:szCs w:val="24"/>
        </w:rPr>
        <w:t>Pereira, Lima e Araújo Júnior (</w:t>
      </w:r>
      <w:r w:rsidR="00A73633">
        <w:rPr>
          <w:rFonts w:ascii="Times New Roman" w:hAnsi="Times New Roman"/>
          <w:sz w:val="24"/>
          <w:szCs w:val="24"/>
        </w:rPr>
        <w:t>2014)</w:t>
      </w:r>
      <w:r w:rsidR="00942106" w:rsidRPr="00A73633">
        <w:rPr>
          <w:rFonts w:ascii="Times New Roman" w:hAnsi="Times New Roman"/>
          <w:sz w:val="24"/>
          <w:szCs w:val="24"/>
        </w:rPr>
        <w:t>, as</w:t>
      </w:r>
      <w:r w:rsidR="00942106">
        <w:rPr>
          <w:rFonts w:ascii="Times New Roman" w:hAnsi="Times New Roman"/>
          <w:sz w:val="24"/>
          <w:szCs w:val="24"/>
        </w:rPr>
        <w:t xml:space="preserve"> famílias da área rural de Pernambuco apresentam os piores resultados em relação à concentração de renda, quando comparadas as famílias não agrícola e pluriativas. Ao mesmo tempo em que para ser não pobre essa família da área rural não pode exercer atividades exclusivamente agrícolas.   </w:t>
      </w: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025E02" w:rsidRDefault="00025E02" w:rsidP="00F83D9B">
      <w:pPr>
        <w:spacing w:after="0" w:line="240" w:lineRule="auto"/>
        <w:ind w:firstLine="709"/>
        <w:jc w:val="both"/>
        <w:rPr>
          <w:rFonts w:ascii="Times New Roman" w:hAnsi="Times New Roman"/>
          <w:sz w:val="24"/>
          <w:szCs w:val="24"/>
        </w:rPr>
      </w:pPr>
    </w:p>
    <w:p w:rsidR="00BD6F91" w:rsidRDefault="00BD6F91" w:rsidP="00BD6F91">
      <w:pPr>
        <w:spacing w:after="0" w:line="240" w:lineRule="auto"/>
        <w:jc w:val="center"/>
        <w:rPr>
          <w:rFonts w:ascii="Times New Roman" w:hAnsi="Times New Roman"/>
          <w:b/>
          <w:sz w:val="24"/>
          <w:szCs w:val="24"/>
        </w:rPr>
      </w:pPr>
    </w:p>
    <w:p w:rsidR="00BD6F91" w:rsidRPr="009D5747" w:rsidRDefault="00BC3580" w:rsidP="00BD6F91">
      <w:pPr>
        <w:spacing w:after="0" w:line="240" w:lineRule="auto"/>
        <w:jc w:val="center"/>
        <w:rPr>
          <w:rFonts w:ascii="Times New Roman" w:hAnsi="Times New Roman"/>
        </w:rPr>
      </w:pPr>
      <w:r w:rsidRPr="00BC3580">
        <w:rPr>
          <w:rFonts w:ascii="Times New Roman" w:hAnsi="Times New Roman"/>
        </w:rPr>
        <w:t>Gráfico 5</w:t>
      </w:r>
      <w:r w:rsidR="00BD6F91" w:rsidRPr="00BC3580">
        <w:rPr>
          <w:rFonts w:ascii="Times New Roman" w:hAnsi="Times New Roman"/>
        </w:rPr>
        <w:t xml:space="preserve"> - </w:t>
      </w:r>
      <w:r w:rsidRPr="00BC3580">
        <w:rPr>
          <w:rFonts w:ascii="Times New Roman" w:hAnsi="Times New Roman"/>
        </w:rPr>
        <w:t>Porcentagem</w:t>
      </w:r>
      <w:r w:rsidR="00BD6F91" w:rsidRPr="00BC3580">
        <w:rPr>
          <w:rFonts w:ascii="Times New Roman" w:hAnsi="Times New Roman"/>
        </w:rPr>
        <w:t xml:space="preserve"> de extremamente</w:t>
      </w:r>
      <w:r w:rsidR="00BD6F91" w:rsidRPr="009D5747">
        <w:rPr>
          <w:rFonts w:ascii="Times New Roman" w:hAnsi="Times New Roman"/>
        </w:rPr>
        <w:t xml:space="preserve"> pobres </w:t>
      </w:r>
    </w:p>
    <w:p w:rsidR="00BD6F91" w:rsidRDefault="00BD6F91" w:rsidP="00BC3580">
      <w:pPr>
        <w:spacing w:after="0"/>
        <w:jc w:val="center"/>
      </w:pPr>
      <w:r w:rsidRPr="00CF0CF7">
        <w:rPr>
          <w:noProof/>
          <w:lang w:eastAsia="pt-BR"/>
        </w:rPr>
        <w:drawing>
          <wp:inline distT="0" distB="0" distL="0" distR="0">
            <wp:extent cx="4483939" cy="2320506"/>
            <wp:effectExtent l="19050" t="0" r="11861" b="3594"/>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6F91" w:rsidRDefault="00BD6F91" w:rsidP="00BD6F91">
      <w:pPr>
        <w:pStyle w:val="Tabela1"/>
        <w:ind w:right="639"/>
        <w:jc w:val="center"/>
        <w:rPr>
          <w:b w:val="0"/>
          <w:sz w:val="20"/>
          <w:szCs w:val="20"/>
        </w:rPr>
      </w:pPr>
      <w:r w:rsidRPr="00563327">
        <w:rPr>
          <w:sz w:val="18"/>
          <w:szCs w:val="18"/>
        </w:rPr>
        <w:t xml:space="preserve"> </w:t>
      </w:r>
      <w:r w:rsidRPr="00C87540">
        <w:rPr>
          <w:b w:val="0"/>
          <w:sz w:val="20"/>
          <w:szCs w:val="20"/>
        </w:rPr>
        <w:t>Fonte: Elaboração</w:t>
      </w:r>
      <w:r w:rsidRPr="00560173">
        <w:rPr>
          <w:b w:val="0"/>
          <w:sz w:val="20"/>
          <w:szCs w:val="20"/>
        </w:rPr>
        <w:t xml:space="preserve"> das autoras a partir dos dados do Atlas do Desenvolvimento Humano</w:t>
      </w:r>
      <w:r>
        <w:rPr>
          <w:b w:val="0"/>
          <w:sz w:val="20"/>
          <w:szCs w:val="20"/>
        </w:rPr>
        <w:t xml:space="preserve"> 2013</w:t>
      </w:r>
      <w:r w:rsidRPr="00E068DD">
        <w:rPr>
          <w:b w:val="0"/>
          <w:sz w:val="20"/>
          <w:szCs w:val="20"/>
        </w:rPr>
        <w:t>.</w:t>
      </w:r>
    </w:p>
    <w:p w:rsidR="00BD6F91" w:rsidRDefault="00BD6F91" w:rsidP="00BD6F91">
      <w:pPr>
        <w:spacing w:after="0" w:line="240" w:lineRule="auto"/>
        <w:ind w:firstLine="709"/>
        <w:jc w:val="both"/>
        <w:rPr>
          <w:rFonts w:ascii="Times New Roman" w:hAnsi="Times New Roman"/>
          <w:sz w:val="24"/>
          <w:szCs w:val="24"/>
        </w:rPr>
      </w:pPr>
    </w:p>
    <w:p w:rsidR="007F491A" w:rsidRDefault="00E2092F" w:rsidP="00AC64F5">
      <w:pPr>
        <w:spacing w:line="240" w:lineRule="auto"/>
        <w:ind w:firstLine="709"/>
        <w:jc w:val="both"/>
        <w:rPr>
          <w:rFonts w:ascii="Times New Roman" w:hAnsi="Times New Roman"/>
          <w:sz w:val="24"/>
          <w:szCs w:val="24"/>
        </w:rPr>
      </w:pPr>
      <w:r>
        <w:rPr>
          <w:rFonts w:ascii="Times New Roman" w:hAnsi="Times New Roman"/>
          <w:sz w:val="24"/>
          <w:szCs w:val="24"/>
        </w:rPr>
        <w:t>Além disso, o Agreste Pernambucano a</w:t>
      </w:r>
      <w:r w:rsidR="007F491A">
        <w:rPr>
          <w:rFonts w:ascii="Times New Roman" w:hAnsi="Times New Roman"/>
          <w:sz w:val="24"/>
          <w:szCs w:val="24"/>
        </w:rPr>
        <w:t>present</w:t>
      </w:r>
      <w:r>
        <w:rPr>
          <w:rFonts w:ascii="Times New Roman" w:hAnsi="Times New Roman"/>
          <w:sz w:val="24"/>
          <w:szCs w:val="24"/>
        </w:rPr>
        <w:t>ou</w:t>
      </w:r>
      <w:r w:rsidR="007F491A">
        <w:rPr>
          <w:rFonts w:ascii="Times New Roman" w:hAnsi="Times New Roman"/>
          <w:sz w:val="24"/>
          <w:szCs w:val="24"/>
        </w:rPr>
        <w:t xml:space="preserve"> crescimento econômico atrelado a um aumento da concentração de renda e redução dos índices de pobreza.</w:t>
      </w:r>
      <w:r w:rsidR="00E82906">
        <w:rPr>
          <w:rFonts w:ascii="Times New Roman" w:hAnsi="Times New Roman"/>
          <w:sz w:val="24"/>
          <w:szCs w:val="24"/>
        </w:rPr>
        <w:t xml:space="preserve"> Tal redução da pobreza na referida mesorregião esteve mais atrelada às transferências do governo do que à elevação </w:t>
      </w:r>
      <w:r w:rsidR="004471FD">
        <w:rPr>
          <w:rFonts w:ascii="Times New Roman" w:hAnsi="Times New Roman"/>
          <w:sz w:val="24"/>
          <w:szCs w:val="24"/>
        </w:rPr>
        <w:t>no nível de rendimento do trabalho dos indivíduos.</w:t>
      </w:r>
      <w:r w:rsidR="007F491A">
        <w:rPr>
          <w:rFonts w:ascii="Times New Roman" w:hAnsi="Times New Roman"/>
          <w:sz w:val="24"/>
          <w:szCs w:val="24"/>
        </w:rPr>
        <w:t xml:space="preserve"> Quando, no entanto, ao se observar o</w:t>
      </w:r>
      <w:r w:rsidR="00E82906">
        <w:rPr>
          <w:rFonts w:ascii="Times New Roman" w:hAnsi="Times New Roman"/>
          <w:sz w:val="24"/>
          <w:szCs w:val="24"/>
        </w:rPr>
        <w:t>s estratos rurais, identificou-se</w:t>
      </w:r>
      <w:r w:rsidR="007F491A">
        <w:rPr>
          <w:rFonts w:ascii="Times New Roman" w:hAnsi="Times New Roman"/>
          <w:sz w:val="24"/>
          <w:szCs w:val="24"/>
        </w:rPr>
        <w:t xml:space="preserve"> uma elevada incidência da pobreza</w:t>
      </w:r>
      <w:r w:rsidR="00E82906">
        <w:rPr>
          <w:rFonts w:ascii="Times New Roman" w:hAnsi="Times New Roman"/>
          <w:sz w:val="24"/>
          <w:szCs w:val="24"/>
        </w:rPr>
        <w:t xml:space="preserve"> (BRITO; ROCHA, 2012).</w:t>
      </w:r>
    </w:p>
    <w:p w:rsidR="00AC64F5" w:rsidRDefault="00AC64F5" w:rsidP="00A61910">
      <w:pPr>
        <w:spacing w:after="0" w:line="240" w:lineRule="auto"/>
        <w:jc w:val="both"/>
        <w:rPr>
          <w:rStyle w:val="Hyperlink"/>
          <w:rFonts w:ascii="Times New Roman" w:hAnsi="Times New Roman" w:cs="Times New Roman"/>
          <w:b/>
          <w:color w:val="000000" w:themeColor="text1"/>
          <w:sz w:val="24"/>
          <w:szCs w:val="24"/>
          <w:u w:val="none"/>
        </w:rPr>
      </w:pPr>
    </w:p>
    <w:p w:rsidR="00643B9D" w:rsidRPr="00643B9D" w:rsidRDefault="00643B9D" w:rsidP="00A61910">
      <w:pPr>
        <w:spacing w:after="0" w:line="240" w:lineRule="auto"/>
        <w:jc w:val="both"/>
        <w:rPr>
          <w:rStyle w:val="Hyperlink"/>
          <w:rFonts w:ascii="Times New Roman" w:hAnsi="Times New Roman" w:cs="Times New Roman"/>
          <w:b/>
          <w:color w:val="000000" w:themeColor="text1"/>
          <w:sz w:val="24"/>
          <w:szCs w:val="24"/>
          <w:u w:val="none"/>
        </w:rPr>
      </w:pPr>
      <w:r w:rsidRPr="00643B9D">
        <w:rPr>
          <w:rStyle w:val="Hyperlink"/>
          <w:rFonts w:ascii="Times New Roman" w:hAnsi="Times New Roman" w:cs="Times New Roman"/>
          <w:b/>
          <w:color w:val="000000" w:themeColor="text1"/>
          <w:sz w:val="24"/>
          <w:szCs w:val="24"/>
          <w:u w:val="none"/>
        </w:rPr>
        <w:t>3</w:t>
      </w:r>
      <w:r w:rsidR="00AC64F5">
        <w:rPr>
          <w:rStyle w:val="Hyperlink"/>
          <w:rFonts w:ascii="Times New Roman" w:hAnsi="Times New Roman" w:cs="Times New Roman"/>
          <w:b/>
          <w:color w:val="000000" w:themeColor="text1"/>
          <w:sz w:val="24"/>
          <w:szCs w:val="24"/>
          <w:u w:val="none"/>
        </w:rPr>
        <w:t>.</w:t>
      </w:r>
      <w:r w:rsidRPr="00643B9D">
        <w:rPr>
          <w:rStyle w:val="Hyperlink"/>
          <w:rFonts w:ascii="Times New Roman" w:hAnsi="Times New Roman" w:cs="Times New Roman"/>
          <w:b/>
          <w:color w:val="000000" w:themeColor="text1"/>
          <w:sz w:val="24"/>
          <w:szCs w:val="24"/>
          <w:u w:val="none"/>
        </w:rPr>
        <w:t xml:space="preserve"> DETERMINANTES DA DESIGUALDADE DE R</w:t>
      </w:r>
      <w:r>
        <w:rPr>
          <w:rStyle w:val="Hyperlink"/>
          <w:rFonts w:ascii="Times New Roman" w:hAnsi="Times New Roman" w:cs="Times New Roman"/>
          <w:b/>
          <w:color w:val="000000" w:themeColor="text1"/>
          <w:sz w:val="24"/>
          <w:szCs w:val="24"/>
          <w:u w:val="none"/>
        </w:rPr>
        <w:t>ENDA A PARTIR DO ÍNDICE THEIL-T</w:t>
      </w:r>
    </w:p>
    <w:p w:rsidR="00643B9D" w:rsidRDefault="00643B9D"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7661B3" w:rsidRDefault="00C24772"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 desigualdade de renda e disparidades econômicas existentes no Nordeste brasileiro é um tema bastante discutido na literatura econômica brasileira. Transformou-se numa questão de grande interesse de estudo pela sua pobreza e pelo seu ciclo de seca que se encontra em grande parte do território nordestino. Alguns estudos como</w:t>
      </w:r>
      <w:r w:rsidR="00F8753A">
        <w:rPr>
          <w:rStyle w:val="Hyperlink"/>
          <w:rFonts w:ascii="Times New Roman" w:hAnsi="Times New Roman" w:cs="Times New Roman"/>
          <w:color w:val="000000" w:themeColor="text1"/>
          <w:sz w:val="24"/>
          <w:szCs w:val="24"/>
          <w:u w:val="none"/>
        </w:rPr>
        <w:t>, por exemplo,</w:t>
      </w:r>
      <w:r>
        <w:rPr>
          <w:rStyle w:val="Hyperlink"/>
          <w:rFonts w:ascii="Times New Roman" w:hAnsi="Times New Roman" w:cs="Times New Roman"/>
          <w:color w:val="000000" w:themeColor="text1"/>
          <w:sz w:val="24"/>
          <w:szCs w:val="24"/>
          <w:u w:val="none"/>
        </w:rPr>
        <w:t xml:space="preserve"> o de </w:t>
      </w:r>
      <w:r w:rsidR="00CC369A">
        <w:rPr>
          <w:rStyle w:val="Hyperlink"/>
          <w:rFonts w:ascii="Times New Roman" w:hAnsi="Times New Roman" w:cs="Times New Roman"/>
          <w:color w:val="000000" w:themeColor="text1"/>
          <w:sz w:val="24"/>
          <w:szCs w:val="24"/>
          <w:u w:val="none"/>
        </w:rPr>
        <w:t>Furtado (</w:t>
      </w:r>
      <w:r w:rsidR="009D3771">
        <w:rPr>
          <w:rStyle w:val="Hyperlink"/>
          <w:rFonts w:ascii="Times New Roman" w:hAnsi="Times New Roman" w:cs="Times New Roman"/>
          <w:color w:val="000000" w:themeColor="text1"/>
          <w:sz w:val="24"/>
          <w:szCs w:val="24"/>
          <w:u w:val="none"/>
        </w:rPr>
        <w:t>2008</w:t>
      </w:r>
      <w:r w:rsidR="00230837">
        <w:rPr>
          <w:rStyle w:val="Hyperlink"/>
          <w:rFonts w:ascii="Times New Roman" w:hAnsi="Times New Roman" w:cs="Times New Roman"/>
          <w:color w:val="000000" w:themeColor="text1"/>
          <w:sz w:val="24"/>
          <w:szCs w:val="24"/>
          <w:u w:val="none"/>
        </w:rPr>
        <w:t>)</w:t>
      </w:r>
      <w:r w:rsidR="007D25AD">
        <w:rPr>
          <w:rStyle w:val="Hyperlink"/>
          <w:rFonts w:ascii="Times New Roman" w:hAnsi="Times New Roman" w:cs="Times New Roman"/>
          <w:color w:val="000000" w:themeColor="text1"/>
          <w:sz w:val="24"/>
          <w:szCs w:val="24"/>
          <w:u w:val="none"/>
        </w:rPr>
        <w:t>, livro, em que o autor reúne argumentos que mostram o cenário nordestino e suas dificuldades.</w:t>
      </w:r>
      <w:r w:rsidR="007661B3">
        <w:rPr>
          <w:rStyle w:val="Hyperlink"/>
          <w:rFonts w:ascii="Times New Roman" w:hAnsi="Times New Roman" w:cs="Times New Roman"/>
          <w:color w:val="000000" w:themeColor="text1"/>
          <w:sz w:val="24"/>
          <w:szCs w:val="24"/>
          <w:u w:val="none"/>
        </w:rPr>
        <w:t xml:space="preserve"> </w:t>
      </w:r>
    </w:p>
    <w:p w:rsidR="007661B3" w:rsidRDefault="007661B3" w:rsidP="007661B3">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Outro estudo abrangente sobre índice de Theil-T com base na analise dos setores do PIB total, foi elaborado por </w:t>
      </w:r>
      <w:r w:rsidR="00031D74">
        <w:rPr>
          <w:rStyle w:val="Hyperlink"/>
          <w:rFonts w:ascii="Times New Roman" w:hAnsi="Times New Roman" w:cs="Times New Roman"/>
          <w:color w:val="000000" w:themeColor="text1"/>
          <w:sz w:val="24"/>
          <w:szCs w:val="24"/>
          <w:u w:val="none"/>
        </w:rPr>
        <w:t>Monteiro</w:t>
      </w:r>
      <w:r>
        <w:rPr>
          <w:rStyle w:val="Hyperlink"/>
          <w:rFonts w:ascii="Times New Roman" w:hAnsi="Times New Roman" w:cs="Times New Roman"/>
          <w:color w:val="000000" w:themeColor="text1"/>
          <w:sz w:val="24"/>
          <w:szCs w:val="24"/>
          <w:u w:val="none"/>
        </w:rPr>
        <w:t xml:space="preserve"> Neto (1997), que analisando o PIB dos setores primário, secundário e terciário da economia brasileira constatou que a desigualdade entre o PIB dos estados do nordeste vem reduzindo ao longo do período simultaneamente ao crescimento do PIB per capita. O autor verificou que o setor de serviços apresentou a maior redução de desigualdade pelo índice no período analisado, seguido pela indústria e pela agricultura.</w:t>
      </w:r>
    </w:p>
    <w:p w:rsidR="007661B3" w:rsidRDefault="007661B3" w:rsidP="007661B3">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Desse modo, Ferreira e Litchfield (2000) concluíram que por volta do ano de 1995 todos, menos os muito ricos, estavam piores em termos relativos, enquanto todos, menos os mais pobres, estavam melhores em termos absolutos. Ou seja, um menor crescimento da renda média ao longo do período levaria a uma redução no efeito favorável ao bem estar do crescimento.</w:t>
      </w:r>
    </w:p>
    <w:p w:rsidR="007661B3" w:rsidRDefault="007661B3" w:rsidP="007661B3">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Hoffman (2000) destacou o fato de a desigualdade entre regiões ser importante, ainda que tenha sido representada por apenas 9% da desigualdade total, quando medida pelo T de Theil. A desigualdade existente dentro de qualquer uma das regiões é muito maior do que a </w:t>
      </w:r>
      <w:r>
        <w:rPr>
          <w:rStyle w:val="Hyperlink"/>
          <w:rFonts w:ascii="Times New Roman" w:hAnsi="Times New Roman" w:cs="Times New Roman"/>
          <w:color w:val="000000" w:themeColor="text1"/>
          <w:sz w:val="24"/>
          <w:szCs w:val="24"/>
          <w:u w:val="none"/>
        </w:rPr>
        <w:lastRenderedPageBreak/>
        <w:t>desigualdade entre regiões. O grau de escolaridade na equação geral mostrou que o rendimento esperado cresceu 11% para cada ano adicional de escolaridade. O coeficiente foi semelhante na indústria e no setor de serviços, mas foi substancialmente mais baixo na agricultura.</w:t>
      </w:r>
    </w:p>
    <w:p w:rsidR="007661B3" w:rsidRDefault="007661B3" w:rsidP="007661B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De modo que, como exposto por Ferreira et al. (2006) e Barros et al. (2006), a</w:t>
      </w:r>
      <w:r w:rsidRPr="00933FCC">
        <w:rPr>
          <w:rFonts w:ascii="Times New Roman" w:hAnsi="Times New Roman" w:cs="Times New Roman"/>
          <w:sz w:val="24"/>
          <w:szCs w:val="24"/>
        </w:rPr>
        <w:t>lém de estar associado ao declínio da inflação em 1993, a redução da desigualdade de renda também parece ter sido causado</w:t>
      </w:r>
      <w:r>
        <w:rPr>
          <w:rFonts w:ascii="Times New Roman" w:hAnsi="Times New Roman" w:cs="Times New Roman"/>
          <w:sz w:val="24"/>
          <w:szCs w:val="24"/>
        </w:rPr>
        <w:t>, principalmente,</w:t>
      </w:r>
      <w:r w:rsidRPr="00933FCC">
        <w:rPr>
          <w:rFonts w:ascii="Times New Roman" w:hAnsi="Times New Roman" w:cs="Times New Roman"/>
          <w:sz w:val="24"/>
          <w:szCs w:val="24"/>
        </w:rPr>
        <w:t xml:space="preserve"> pelo retorno da educação; pela convergência rural-urbana; e pelas transferências do governo, focalizados nos pobres.</w:t>
      </w:r>
    </w:p>
    <w:p w:rsidR="00A038C4" w:rsidRDefault="00A038C4" w:rsidP="007661B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Já para Siqueira e Siqueira (2006), </w:t>
      </w:r>
      <w:r w:rsidR="00A27F23">
        <w:rPr>
          <w:rFonts w:ascii="Times New Roman" w:hAnsi="Times New Roman" w:cs="Times New Roman"/>
          <w:sz w:val="24"/>
          <w:szCs w:val="24"/>
        </w:rPr>
        <w:t xml:space="preserve">pouca ênfase foi posta na questão da desigualdade de renda intra-regional (entre os estados de uma mesma região). Ao estabelecer as políticas de combate à pobreza e desigualdade de renda, supõe-se geralmente que a convergência da renda média dos estados melhoraria a equidade na região, reduzindo, consequentemente, a desigualdade nacional como um todo. </w:t>
      </w:r>
    </w:p>
    <w:p w:rsidR="00FF30E6" w:rsidRDefault="00B2799D" w:rsidP="00A61910">
      <w:pPr>
        <w:spacing w:after="0" w:line="240" w:lineRule="auto"/>
        <w:ind w:firstLine="709"/>
        <w:jc w:val="both"/>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Além disso, para os autores a importância relativa da desigualdade intragrupo implica que o nível de desigualdade de renda e sua mudança no tempo são causados predominantemente pelo aumento na desigualdade dentro dos estados e não por diferenças na renda média entre eles. Isto também é verdadeiro para subgrupos característicos dentro dos estados. Essas decomposições revelaram que a maioria da desigualdade de renda é encontrada dentro dos estados e dentro dos grupos de gênero e raça.</w:t>
      </w:r>
      <w:r w:rsidR="00FF30E6">
        <w:rPr>
          <w:rFonts w:ascii="Times New Roman" w:hAnsi="Times New Roman" w:cs="Times New Roman"/>
          <w:sz w:val="24"/>
          <w:szCs w:val="24"/>
        </w:rPr>
        <w:t xml:space="preserve"> </w:t>
      </w:r>
      <w:r w:rsidR="00FF30E6">
        <w:rPr>
          <w:rStyle w:val="Hyperlink"/>
          <w:rFonts w:ascii="Times New Roman" w:hAnsi="Times New Roman" w:cs="Times New Roman"/>
          <w:color w:val="000000" w:themeColor="text1"/>
          <w:sz w:val="24"/>
          <w:szCs w:val="24"/>
          <w:u w:val="none"/>
        </w:rPr>
        <w:t xml:space="preserve">A </w:t>
      </w:r>
      <w:r w:rsidR="00FF30E6" w:rsidRPr="0007427F">
        <w:rPr>
          <w:rStyle w:val="Hyperlink"/>
          <w:rFonts w:ascii="Times New Roman" w:hAnsi="Times New Roman" w:cs="Times New Roman"/>
          <w:color w:val="000000" w:themeColor="text1"/>
          <w:sz w:val="24"/>
          <w:szCs w:val="24"/>
          <w:u w:val="none"/>
        </w:rPr>
        <w:t xml:space="preserve">Tabela </w:t>
      </w:r>
      <w:r w:rsidR="0007427F">
        <w:rPr>
          <w:rStyle w:val="Hyperlink"/>
          <w:rFonts w:ascii="Times New Roman" w:hAnsi="Times New Roman" w:cs="Times New Roman"/>
          <w:color w:val="000000" w:themeColor="text1"/>
          <w:sz w:val="24"/>
          <w:szCs w:val="24"/>
          <w:u w:val="none"/>
        </w:rPr>
        <w:t>2</w:t>
      </w:r>
      <w:r w:rsidR="00FF30E6">
        <w:rPr>
          <w:rStyle w:val="Hyperlink"/>
          <w:rFonts w:ascii="Times New Roman" w:hAnsi="Times New Roman" w:cs="Times New Roman"/>
          <w:color w:val="000000" w:themeColor="text1"/>
          <w:sz w:val="24"/>
          <w:szCs w:val="24"/>
          <w:u w:val="none"/>
        </w:rPr>
        <w:t xml:space="preserve"> mostra um resumo dos determinantes da desigualdade de renda a partir do índice Theil-T.</w:t>
      </w:r>
    </w:p>
    <w:p w:rsidR="00F83D9B" w:rsidRDefault="00F83D9B"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E93105" w:rsidRDefault="00E93105" w:rsidP="00A61910">
      <w:pPr>
        <w:spacing w:after="0" w:line="240" w:lineRule="auto"/>
        <w:ind w:firstLine="709"/>
        <w:jc w:val="both"/>
        <w:rPr>
          <w:rStyle w:val="Hyperlink"/>
          <w:rFonts w:ascii="Times New Roman" w:hAnsi="Times New Roman" w:cs="Times New Roman"/>
          <w:color w:val="000000" w:themeColor="text1"/>
          <w:sz w:val="24"/>
          <w:szCs w:val="24"/>
          <w:u w:val="none"/>
        </w:rPr>
      </w:pPr>
    </w:p>
    <w:p w:rsidR="0003731D" w:rsidRPr="004428DF" w:rsidRDefault="0003731D" w:rsidP="004428DF">
      <w:pPr>
        <w:spacing w:after="0" w:line="240" w:lineRule="auto"/>
        <w:jc w:val="center"/>
        <w:rPr>
          <w:rFonts w:ascii="Times New Roman" w:hAnsi="Times New Roman" w:cs="Times New Roman"/>
          <w:sz w:val="24"/>
          <w:szCs w:val="24"/>
        </w:rPr>
      </w:pPr>
      <w:r w:rsidRPr="0007427F">
        <w:rPr>
          <w:rFonts w:ascii="Times New Roman" w:hAnsi="Times New Roman" w:cs="Times New Roman"/>
          <w:sz w:val="24"/>
          <w:szCs w:val="24"/>
        </w:rPr>
        <w:lastRenderedPageBreak/>
        <w:t xml:space="preserve">Tabela </w:t>
      </w:r>
      <w:r w:rsidR="0007427F">
        <w:rPr>
          <w:rFonts w:ascii="Times New Roman" w:hAnsi="Times New Roman" w:cs="Times New Roman"/>
          <w:sz w:val="24"/>
          <w:szCs w:val="24"/>
        </w:rPr>
        <w:t>2</w:t>
      </w:r>
      <w:r w:rsidRPr="004428DF">
        <w:rPr>
          <w:rFonts w:ascii="Times New Roman" w:hAnsi="Times New Roman" w:cs="Times New Roman"/>
          <w:sz w:val="24"/>
          <w:szCs w:val="24"/>
        </w:rPr>
        <w:t xml:space="preserve"> – </w:t>
      </w:r>
      <w:r w:rsidR="004428DF" w:rsidRPr="004428DF">
        <w:rPr>
          <w:rFonts w:ascii="Times New Roman" w:hAnsi="Times New Roman" w:cs="Times New Roman"/>
          <w:sz w:val="24"/>
          <w:szCs w:val="24"/>
        </w:rPr>
        <w:t xml:space="preserve">Resumo </w:t>
      </w:r>
      <w:r w:rsidRPr="004428DF">
        <w:rPr>
          <w:rFonts w:ascii="Times New Roman" w:hAnsi="Times New Roman" w:cs="Times New Roman"/>
          <w:sz w:val="24"/>
          <w:szCs w:val="24"/>
        </w:rPr>
        <w:t>dos</w:t>
      </w:r>
      <w:r w:rsidR="004428DF" w:rsidRPr="004428DF">
        <w:rPr>
          <w:rFonts w:ascii="Times New Roman" w:hAnsi="Times New Roman" w:cs="Times New Roman"/>
          <w:sz w:val="24"/>
          <w:szCs w:val="24"/>
        </w:rPr>
        <w:t xml:space="preserve"> Trabalhos Correlatos para os </w:t>
      </w:r>
      <w:r w:rsidR="004428DF" w:rsidRPr="004428DF">
        <w:rPr>
          <w:rStyle w:val="Hyperlink"/>
          <w:rFonts w:ascii="Times New Roman" w:hAnsi="Times New Roman" w:cs="Times New Roman"/>
          <w:color w:val="000000" w:themeColor="text1"/>
          <w:sz w:val="24"/>
          <w:szCs w:val="24"/>
          <w:u w:val="none"/>
        </w:rPr>
        <w:t>Determinantes da Desigualdade de Renda a Partir do Índice Theil-T</w:t>
      </w:r>
    </w:p>
    <w:tbl>
      <w:tblPr>
        <w:tblStyle w:val="Tabelacomgrade"/>
        <w:tblW w:w="9180" w:type="dxa"/>
        <w:tblLayout w:type="fixed"/>
        <w:tblLook w:val="04A0" w:firstRow="1" w:lastRow="0" w:firstColumn="1" w:lastColumn="0" w:noHBand="0" w:noVBand="1"/>
      </w:tblPr>
      <w:tblGrid>
        <w:gridCol w:w="1242"/>
        <w:gridCol w:w="2552"/>
        <w:gridCol w:w="1276"/>
        <w:gridCol w:w="1275"/>
        <w:gridCol w:w="1559"/>
        <w:gridCol w:w="1276"/>
      </w:tblGrid>
      <w:tr w:rsidR="0003731D" w:rsidTr="00877DDB">
        <w:tc>
          <w:tcPr>
            <w:tcW w:w="1242" w:type="dxa"/>
            <w:tcBorders>
              <w:left w:val="nil"/>
              <w:bottom w:val="single" w:sz="4" w:space="0" w:color="auto"/>
              <w:right w:val="nil"/>
            </w:tcBorders>
            <w:vAlign w:val="center"/>
          </w:tcPr>
          <w:p w:rsidR="0003731D" w:rsidRPr="0003731D" w:rsidRDefault="0003731D" w:rsidP="0003731D">
            <w:pPr>
              <w:spacing w:after="0" w:line="240" w:lineRule="auto"/>
              <w:jc w:val="center"/>
              <w:rPr>
                <w:rFonts w:ascii="Times New Roman" w:hAnsi="Times New Roman" w:cs="Times New Roman"/>
                <w:b/>
                <w:sz w:val="20"/>
                <w:szCs w:val="20"/>
              </w:rPr>
            </w:pPr>
            <w:r w:rsidRPr="0003731D">
              <w:rPr>
                <w:rFonts w:ascii="Times New Roman" w:hAnsi="Times New Roman" w:cs="Times New Roman"/>
                <w:b/>
                <w:sz w:val="20"/>
                <w:szCs w:val="20"/>
              </w:rPr>
              <w:t>Artigo</w:t>
            </w:r>
          </w:p>
        </w:tc>
        <w:tc>
          <w:tcPr>
            <w:tcW w:w="2552" w:type="dxa"/>
            <w:tcBorders>
              <w:left w:val="nil"/>
              <w:bottom w:val="single" w:sz="4" w:space="0" w:color="auto"/>
              <w:right w:val="nil"/>
            </w:tcBorders>
            <w:vAlign w:val="center"/>
          </w:tcPr>
          <w:p w:rsidR="0003731D" w:rsidRPr="0003731D" w:rsidRDefault="0003731D" w:rsidP="0003731D">
            <w:pPr>
              <w:spacing w:after="0" w:line="240" w:lineRule="auto"/>
              <w:jc w:val="center"/>
              <w:rPr>
                <w:rFonts w:ascii="Times New Roman" w:hAnsi="Times New Roman" w:cs="Times New Roman"/>
                <w:b/>
                <w:sz w:val="20"/>
                <w:szCs w:val="20"/>
              </w:rPr>
            </w:pPr>
            <w:r w:rsidRPr="0003731D">
              <w:rPr>
                <w:rFonts w:ascii="Times New Roman" w:hAnsi="Times New Roman" w:cs="Times New Roman"/>
                <w:b/>
                <w:sz w:val="20"/>
                <w:szCs w:val="20"/>
              </w:rPr>
              <w:t>Resultado</w:t>
            </w:r>
          </w:p>
        </w:tc>
        <w:tc>
          <w:tcPr>
            <w:tcW w:w="1276" w:type="dxa"/>
            <w:tcBorders>
              <w:left w:val="nil"/>
              <w:bottom w:val="single" w:sz="4" w:space="0" w:color="auto"/>
              <w:right w:val="nil"/>
            </w:tcBorders>
            <w:vAlign w:val="center"/>
          </w:tcPr>
          <w:p w:rsidR="0003731D" w:rsidRPr="0003731D" w:rsidRDefault="00EE44F6" w:rsidP="0003731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Dados</w:t>
            </w:r>
          </w:p>
        </w:tc>
        <w:tc>
          <w:tcPr>
            <w:tcW w:w="1275" w:type="dxa"/>
            <w:tcBorders>
              <w:left w:val="nil"/>
              <w:right w:val="nil"/>
            </w:tcBorders>
            <w:vAlign w:val="center"/>
          </w:tcPr>
          <w:p w:rsidR="0003731D" w:rsidRPr="0003731D" w:rsidRDefault="0003731D" w:rsidP="0003731D">
            <w:pPr>
              <w:spacing w:after="0" w:line="240" w:lineRule="auto"/>
              <w:jc w:val="center"/>
              <w:rPr>
                <w:rFonts w:ascii="Times New Roman" w:hAnsi="Times New Roman" w:cs="Times New Roman"/>
                <w:b/>
                <w:sz w:val="20"/>
                <w:szCs w:val="20"/>
              </w:rPr>
            </w:pPr>
            <w:r w:rsidRPr="0003731D">
              <w:rPr>
                <w:rFonts w:ascii="Times New Roman" w:hAnsi="Times New Roman" w:cs="Times New Roman"/>
                <w:b/>
                <w:sz w:val="20"/>
                <w:szCs w:val="20"/>
              </w:rPr>
              <w:t>Período</w:t>
            </w:r>
          </w:p>
        </w:tc>
        <w:tc>
          <w:tcPr>
            <w:tcW w:w="1559" w:type="dxa"/>
            <w:tcBorders>
              <w:left w:val="nil"/>
              <w:right w:val="nil"/>
            </w:tcBorders>
            <w:vAlign w:val="center"/>
          </w:tcPr>
          <w:p w:rsidR="0003731D" w:rsidRPr="0003731D" w:rsidRDefault="0003731D" w:rsidP="0003731D">
            <w:pPr>
              <w:spacing w:after="0" w:line="240" w:lineRule="auto"/>
              <w:jc w:val="center"/>
              <w:rPr>
                <w:rFonts w:ascii="Times New Roman" w:hAnsi="Times New Roman" w:cs="Times New Roman"/>
                <w:b/>
                <w:sz w:val="20"/>
                <w:szCs w:val="20"/>
              </w:rPr>
            </w:pPr>
            <w:r w:rsidRPr="0003731D">
              <w:rPr>
                <w:rFonts w:ascii="Times New Roman" w:hAnsi="Times New Roman" w:cs="Times New Roman"/>
                <w:b/>
                <w:sz w:val="20"/>
                <w:szCs w:val="20"/>
              </w:rPr>
              <w:t>Escala Geográfica</w:t>
            </w:r>
          </w:p>
        </w:tc>
        <w:tc>
          <w:tcPr>
            <w:tcW w:w="1276" w:type="dxa"/>
            <w:tcBorders>
              <w:left w:val="nil"/>
              <w:right w:val="nil"/>
            </w:tcBorders>
            <w:vAlign w:val="center"/>
          </w:tcPr>
          <w:p w:rsidR="0003731D" w:rsidRPr="0003731D" w:rsidRDefault="0003731D" w:rsidP="0003731D">
            <w:pPr>
              <w:spacing w:after="0" w:line="240" w:lineRule="auto"/>
              <w:jc w:val="center"/>
              <w:rPr>
                <w:rFonts w:ascii="Times New Roman" w:hAnsi="Times New Roman" w:cs="Times New Roman"/>
                <w:b/>
                <w:sz w:val="20"/>
                <w:szCs w:val="20"/>
              </w:rPr>
            </w:pPr>
            <w:r w:rsidRPr="0003731D">
              <w:rPr>
                <w:rFonts w:ascii="Times New Roman" w:hAnsi="Times New Roman" w:cs="Times New Roman"/>
                <w:b/>
                <w:sz w:val="20"/>
                <w:szCs w:val="20"/>
              </w:rPr>
              <w:t>Método</w:t>
            </w:r>
          </w:p>
        </w:tc>
      </w:tr>
      <w:tr w:rsidR="008F229C" w:rsidTr="00877DDB">
        <w:tc>
          <w:tcPr>
            <w:tcW w:w="1242" w:type="dxa"/>
            <w:tcBorders>
              <w:left w:val="nil"/>
              <w:bottom w:val="single" w:sz="4" w:space="0" w:color="auto"/>
              <w:right w:val="nil"/>
            </w:tcBorders>
            <w:vAlign w:val="center"/>
          </w:tcPr>
          <w:p w:rsidR="008F229C" w:rsidRPr="00444158" w:rsidRDefault="00031D74" w:rsidP="00877DDB">
            <w:pPr>
              <w:spacing w:after="0" w:line="240" w:lineRule="auto"/>
              <w:rPr>
                <w:rFonts w:ascii="Times New Roman" w:hAnsi="Times New Roman" w:cs="Times New Roman"/>
                <w:sz w:val="20"/>
                <w:szCs w:val="20"/>
              </w:rPr>
            </w:pPr>
            <w:r>
              <w:rPr>
                <w:rFonts w:ascii="Times New Roman" w:hAnsi="Times New Roman" w:cs="Times New Roman"/>
                <w:sz w:val="20"/>
                <w:szCs w:val="20"/>
              </w:rPr>
              <w:t>Monteiro</w:t>
            </w:r>
            <w:r w:rsidR="008F229C">
              <w:rPr>
                <w:rFonts w:ascii="Times New Roman" w:hAnsi="Times New Roman" w:cs="Times New Roman"/>
                <w:sz w:val="20"/>
                <w:szCs w:val="20"/>
              </w:rPr>
              <w:t xml:space="preserve"> Neto (1997)</w:t>
            </w:r>
          </w:p>
        </w:tc>
        <w:tc>
          <w:tcPr>
            <w:tcW w:w="2552" w:type="dxa"/>
            <w:tcBorders>
              <w:left w:val="nil"/>
              <w:bottom w:val="single" w:sz="4" w:space="0" w:color="auto"/>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As desigualdades no produto total entre os estados nordestinos reduziram-se no período estudado. Quanto a desigualdade nos setores, o setor de serviços foi o que apresentou maior redução nos índices.</w:t>
            </w:r>
          </w:p>
        </w:tc>
        <w:tc>
          <w:tcPr>
            <w:tcW w:w="1276" w:type="dxa"/>
            <w:tcBorders>
              <w:left w:val="nil"/>
              <w:bottom w:val="single" w:sz="4" w:space="0" w:color="auto"/>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SUDENE e IBGE</w:t>
            </w:r>
          </w:p>
        </w:tc>
        <w:tc>
          <w:tcPr>
            <w:tcW w:w="1275" w:type="dxa"/>
            <w:tcBorders>
              <w:left w:val="nil"/>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1970-1995</w:t>
            </w:r>
          </w:p>
        </w:tc>
        <w:tc>
          <w:tcPr>
            <w:tcW w:w="1559" w:type="dxa"/>
            <w:tcBorders>
              <w:left w:val="nil"/>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Todos os estados do Nordeste</w:t>
            </w:r>
          </w:p>
        </w:tc>
        <w:tc>
          <w:tcPr>
            <w:tcW w:w="1276" w:type="dxa"/>
            <w:tcBorders>
              <w:left w:val="nil"/>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Índice de Theil</w:t>
            </w:r>
          </w:p>
        </w:tc>
      </w:tr>
      <w:tr w:rsidR="008F229C" w:rsidTr="00877DDB">
        <w:tc>
          <w:tcPr>
            <w:tcW w:w="1242" w:type="dxa"/>
            <w:tcBorders>
              <w:left w:val="nil"/>
              <w:right w:val="nil"/>
            </w:tcBorders>
            <w:vAlign w:val="center"/>
          </w:tcPr>
          <w:p w:rsidR="008F229C" w:rsidRPr="00444158" w:rsidRDefault="008F229C" w:rsidP="00877DDB">
            <w:pPr>
              <w:spacing w:after="0" w:line="240" w:lineRule="auto"/>
              <w:rPr>
                <w:rFonts w:ascii="Times New Roman" w:hAnsi="Times New Roman" w:cs="Times New Roman"/>
                <w:sz w:val="20"/>
                <w:szCs w:val="20"/>
              </w:rPr>
            </w:pPr>
            <w:r>
              <w:rPr>
                <w:rFonts w:ascii="Times New Roman" w:hAnsi="Times New Roman" w:cs="Times New Roman"/>
                <w:sz w:val="20"/>
                <w:szCs w:val="20"/>
              </w:rPr>
              <w:t>Ferreira e Litchfield (2000)</w:t>
            </w:r>
          </w:p>
        </w:tc>
        <w:tc>
          <w:tcPr>
            <w:tcW w:w="2552" w:type="dxa"/>
            <w:tcBorders>
              <w:left w:val="nil"/>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O décimo mais rico ganhou à custa do resto da população. Embora a desigualdade continuasse a aumentar entre 1990 e 1993, houve um declínio entre 1993 e 1995.</w:t>
            </w:r>
          </w:p>
        </w:tc>
        <w:tc>
          <w:tcPr>
            <w:tcW w:w="1276" w:type="dxa"/>
            <w:tcBorders>
              <w:left w:val="nil"/>
              <w:right w:val="nil"/>
            </w:tcBorders>
            <w:vAlign w:val="center"/>
          </w:tcPr>
          <w:p w:rsidR="0080290D"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PNAD</w:t>
            </w:r>
            <w:r w:rsidR="0080290D">
              <w:rPr>
                <w:rFonts w:ascii="Times New Roman" w:hAnsi="Times New Roman" w:cs="Times New Roman"/>
                <w:sz w:val="20"/>
                <w:szCs w:val="20"/>
              </w:rPr>
              <w:t>/</w:t>
            </w:r>
          </w:p>
          <w:p w:rsidR="008F229C" w:rsidRPr="00444158"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IBGE</w:t>
            </w:r>
          </w:p>
        </w:tc>
        <w:tc>
          <w:tcPr>
            <w:tcW w:w="1275" w:type="dxa"/>
            <w:tcBorders>
              <w:left w:val="nil"/>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1981-1995</w:t>
            </w:r>
          </w:p>
        </w:tc>
        <w:tc>
          <w:tcPr>
            <w:tcW w:w="1559" w:type="dxa"/>
            <w:tcBorders>
              <w:left w:val="nil"/>
              <w:right w:val="nil"/>
            </w:tcBorders>
            <w:vAlign w:val="center"/>
          </w:tcPr>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Regiões Metropolitanas</w:t>
            </w:r>
          </w:p>
        </w:tc>
        <w:tc>
          <w:tcPr>
            <w:tcW w:w="1276" w:type="dxa"/>
            <w:tcBorders>
              <w:left w:val="nil"/>
              <w:right w:val="nil"/>
            </w:tcBorders>
            <w:vAlign w:val="center"/>
          </w:tcPr>
          <w:p w:rsidR="008F229C"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Coeficientes de Gini, de Variação e</w:t>
            </w:r>
          </w:p>
          <w:p w:rsidR="008F229C" w:rsidRPr="00444158" w:rsidRDefault="008F229C"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Índice de Theil</w:t>
            </w:r>
          </w:p>
        </w:tc>
      </w:tr>
      <w:tr w:rsidR="00493638" w:rsidTr="00877DDB">
        <w:tc>
          <w:tcPr>
            <w:tcW w:w="1242" w:type="dxa"/>
            <w:tcBorders>
              <w:left w:val="nil"/>
              <w:bottom w:val="single" w:sz="4" w:space="0" w:color="auto"/>
              <w:right w:val="nil"/>
            </w:tcBorders>
            <w:vAlign w:val="center"/>
          </w:tcPr>
          <w:p w:rsidR="00493638" w:rsidRPr="00444158" w:rsidRDefault="00DA2D95" w:rsidP="00877DDB">
            <w:pPr>
              <w:spacing w:after="0" w:line="240" w:lineRule="auto"/>
              <w:rPr>
                <w:rFonts w:ascii="Times New Roman" w:hAnsi="Times New Roman" w:cs="Times New Roman"/>
                <w:sz w:val="20"/>
                <w:szCs w:val="20"/>
              </w:rPr>
            </w:pPr>
            <w:r>
              <w:rPr>
                <w:rFonts w:ascii="Times New Roman" w:hAnsi="Times New Roman" w:cs="Times New Roman"/>
                <w:sz w:val="20"/>
                <w:szCs w:val="20"/>
              </w:rPr>
              <w:t>Siqueira e Siqueira (2006)</w:t>
            </w:r>
          </w:p>
        </w:tc>
        <w:tc>
          <w:tcPr>
            <w:tcW w:w="2552" w:type="dxa"/>
            <w:tcBorders>
              <w:left w:val="nil"/>
              <w:bottom w:val="single" w:sz="4" w:space="0" w:color="auto"/>
              <w:right w:val="nil"/>
            </w:tcBorders>
            <w:vAlign w:val="center"/>
          </w:tcPr>
          <w:p w:rsidR="00493638" w:rsidRPr="00444158" w:rsidRDefault="008330A0" w:rsidP="008330A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A fonte da redução na desigualdade da distribuição total de renda no Nordeste estava na desigualdade decrescente dentro dos estados e não na redução das diferenças na renda média entre eles. </w:t>
            </w:r>
          </w:p>
        </w:tc>
        <w:tc>
          <w:tcPr>
            <w:tcW w:w="1276" w:type="dxa"/>
            <w:tcBorders>
              <w:left w:val="nil"/>
              <w:bottom w:val="single" w:sz="4" w:space="0" w:color="auto"/>
              <w:right w:val="nil"/>
            </w:tcBorders>
            <w:vAlign w:val="center"/>
          </w:tcPr>
          <w:p w:rsidR="00493638" w:rsidRDefault="00DA2D95"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PNAD</w:t>
            </w:r>
            <w:r w:rsidR="0080290D">
              <w:rPr>
                <w:rFonts w:ascii="Times New Roman" w:hAnsi="Times New Roman" w:cs="Times New Roman"/>
                <w:sz w:val="20"/>
                <w:szCs w:val="20"/>
              </w:rPr>
              <w:t>/</w:t>
            </w:r>
          </w:p>
          <w:p w:rsidR="0080290D" w:rsidRPr="00444158"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IBGE</w:t>
            </w:r>
          </w:p>
        </w:tc>
        <w:tc>
          <w:tcPr>
            <w:tcW w:w="1275" w:type="dxa"/>
            <w:tcBorders>
              <w:left w:val="nil"/>
              <w:right w:val="nil"/>
            </w:tcBorders>
            <w:vAlign w:val="center"/>
          </w:tcPr>
          <w:p w:rsidR="00493638" w:rsidRPr="00444158" w:rsidRDefault="00DA2D95"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1995-2004</w:t>
            </w:r>
          </w:p>
        </w:tc>
        <w:tc>
          <w:tcPr>
            <w:tcW w:w="1559" w:type="dxa"/>
            <w:tcBorders>
              <w:left w:val="nil"/>
              <w:right w:val="nil"/>
            </w:tcBorders>
            <w:vAlign w:val="center"/>
          </w:tcPr>
          <w:p w:rsidR="00493638" w:rsidRPr="00444158" w:rsidRDefault="00DA2D95"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Nordeste</w:t>
            </w:r>
          </w:p>
        </w:tc>
        <w:tc>
          <w:tcPr>
            <w:tcW w:w="1276" w:type="dxa"/>
            <w:tcBorders>
              <w:left w:val="nil"/>
              <w:right w:val="nil"/>
            </w:tcBorders>
            <w:vAlign w:val="center"/>
          </w:tcPr>
          <w:p w:rsidR="00493638" w:rsidRPr="00444158" w:rsidRDefault="00DA2D95" w:rsidP="004B0C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Índice de Theil, Índice de Gini e Coeficiente de Variação.</w:t>
            </w:r>
          </w:p>
        </w:tc>
      </w:tr>
      <w:tr w:rsidR="00493638" w:rsidTr="00877DDB">
        <w:tc>
          <w:tcPr>
            <w:tcW w:w="1242" w:type="dxa"/>
            <w:tcBorders>
              <w:left w:val="nil"/>
              <w:right w:val="nil"/>
            </w:tcBorders>
            <w:vAlign w:val="center"/>
          </w:tcPr>
          <w:p w:rsidR="00493638" w:rsidRPr="00444158" w:rsidRDefault="00B20989" w:rsidP="00B20989">
            <w:pPr>
              <w:spacing w:after="0" w:line="240" w:lineRule="auto"/>
              <w:rPr>
                <w:rFonts w:ascii="Times New Roman" w:hAnsi="Times New Roman" w:cs="Times New Roman"/>
                <w:sz w:val="20"/>
                <w:szCs w:val="20"/>
              </w:rPr>
            </w:pPr>
            <w:r>
              <w:rPr>
                <w:rFonts w:ascii="Times New Roman" w:hAnsi="Times New Roman" w:cs="Times New Roman"/>
                <w:sz w:val="20"/>
                <w:szCs w:val="20"/>
              </w:rPr>
              <w:t>Caldas e Menezes</w:t>
            </w:r>
            <w:r w:rsidR="00493638">
              <w:rPr>
                <w:rFonts w:ascii="Times New Roman" w:hAnsi="Times New Roman" w:cs="Times New Roman"/>
                <w:sz w:val="20"/>
                <w:szCs w:val="20"/>
              </w:rPr>
              <w:t xml:space="preserve"> (20</w:t>
            </w:r>
            <w:r>
              <w:rPr>
                <w:rFonts w:ascii="Times New Roman" w:hAnsi="Times New Roman" w:cs="Times New Roman"/>
                <w:sz w:val="20"/>
                <w:szCs w:val="20"/>
              </w:rPr>
              <w:t>10</w:t>
            </w:r>
            <w:r w:rsidR="00493638">
              <w:rPr>
                <w:rFonts w:ascii="Times New Roman" w:hAnsi="Times New Roman" w:cs="Times New Roman"/>
                <w:sz w:val="20"/>
                <w:szCs w:val="20"/>
              </w:rPr>
              <w:t>)</w:t>
            </w:r>
          </w:p>
        </w:tc>
        <w:tc>
          <w:tcPr>
            <w:tcW w:w="2552" w:type="dxa"/>
            <w:tcBorders>
              <w:left w:val="nil"/>
              <w:right w:val="nil"/>
            </w:tcBorders>
            <w:vAlign w:val="center"/>
          </w:tcPr>
          <w:p w:rsidR="004E78DC" w:rsidRPr="00444158" w:rsidRDefault="004E78DC" w:rsidP="004E78D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 distribuição de renda é menos desigual no Brasil do que no Nordeste e em seus respectivos estados; que as disparidades de renda urbana e rural também se reduziram, tanto no Brasil quanto no Nordeste, mas não em todos os estados nordestinos.</w:t>
            </w:r>
          </w:p>
        </w:tc>
        <w:tc>
          <w:tcPr>
            <w:tcW w:w="1276" w:type="dxa"/>
            <w:tcBorders>
              <w:left w:val="nil"/>
              <w:right w:val="nil"/>
            </w:tcBorders>
            <w:vAlign w:val="center"/>
          </w:tcPr>
          <w:p w:rsidR="00493638" w:rsidRDefault="00493638"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PNAD</w:t>
            </w:r>
            <w:r w:rsidR="0080290D">
              <w:rPr>
                <w:rFonts w:ascii="Times New Roman" w:hAnsi="Times New Roman" w:cs="Times New Roman"/>
                <w:sz w:val="20"/>
                <w:szCs w:val="20"/>
              </w:rPr>
              <w:t>/</w:t>
            </w:r>
          </w:p>
          <w:p w:rsidR="0080290D" w:rsidRPr="00444158"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IBGE</w:t>
            </w:r>
          </w:p>
        </w:tc>
        <w:tc>
          <w:tcPr>
            <w:tcW w:w="1275" w:type="dxa"/>
            <w:tcBorders>
              <w:left w:val="nil"/>
              <w:right w:val="nil"/>
            </w:tcBorders>
            <w:vAlign w:val="center"/>
          </w:tcPr>
          <w:p w:rsidR="00493638" w:rsidRPr="00444158" w:rsidRDefault="00B20989" w:rsidP="00B2098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1996, 1999, 2001 e 2006 </w:t>
            </w:r>
          </w:p>
        </w:tc>
        <w:tc>
          <w:tcPr>
            <w:tcW w:w="1559" w:type="dxa"/>
            <w:tcBorders>
              <w:left w:val="nil"/>
              <w:right w:val="nil"/>
            </w:tcBorders>
            <w:vAlign w:val="center"/>
          </w:tcPr>
          <w:p w:rsidR="00493638" w:rsidRPr="00444158" w:rsidRDefault="00B20989"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Todos os estados do Nordeste</w:t>
            </w:r>
          </w:p>
        </w:tc>
        <w:tc>
          <w:tcPr>
            <w:tcW w:w="1276" w:type="dxa"/>
            <w:tcBorders>
              <w:left w:val="nil"/>
              <w:right w:val="nil"/>
            </w:tcBorders>
            <w:vAlign w:val="center"/>
          </w:tcPr>
          <w:p w:rsidR="00493638" w:rsidRPr="00444158" w:rsidRDefault="00493638" w:rsidP="00E61F2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Índice de Theil-T</w:t>
            </w:r>
          </w:p>
        </w:tc>
      </w:tr>
      <w:tr w:rsidR="004E78DC" w:rsidTr="00877DDB">
        <w:tc>
          <w:tcPr>
            <w:tcW w:w="1242" w:type="dxa"/>
            <w:tcBorders>
              <w:left w:val="nil"/>
              <w:right w:val="nil"/>
            </w:tcBorders>
            <w:vAlign w:val="center"/>
          </w:tcPr>
          <w:p w:rsidR="004E78DC" w:rsidRPr="00444158" w:rsidRDefault="00E61F26" w:rsidP="004E78DC">
            <w:pPr>
              <w:spacing w:after="0" w:line="240" w:lineRule="auto"/>
              <w:rPr>
                <w:rFonts w:ascii="Times New Roman" w:hAnsi="Times New Roman" w:cs="Times New Roman"/>
                <w:sz w:val="20"/>
                <w:szCs w:val="20"/>
              </w:rPr>
            </w:pPr>
            <w:r>
              <w:rPr>
                <w:rFonts w:ascii="Times New Roman" w:hAnsi="Times New Roman" w:cs="Times New Roman"/>
                <w:sz w:val="20"/>
                <w:szCs w:val="20"/>
              </w:rPr>
              <w:t>Silva e Fonseca Neto</w:t>
            </w:r>
            <w:r w:rsidR="004E78DC">
              <w:rPr>
                <w:rFonts w:ascii="Times New Roman" w:hAnsi="Times New Roman" w:cs="Times New Roman"/>
                <w:sz w:val="20"/>
                <w:szCs w:val="20"/>
              </w:rPr>
              <w:t xml:space="preserve"> (2012)</w:t>
            </w:r>
          </w:p>
        </w:tc>
        <w:tc>
          <w:tcPr>
            <w:tcW w:w="2552" w:type="dxa"/>
            <w:tcBorders>
              <w:left w:val="nil"/>
              <w:right w:val="nil"/>
            </w:tcBorders>
            <w:vAlign w:val="center"/>
          </w:tcPr>
          <w:p w:rsidR="004E78DC" w:rsidRPr="00444158" w:rsidRDefault="002E3DFD" w:rsidP="002E3DF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 desconcentração entre estados e entre regiões foi superior à concentração entre municípios, estabelecendo um padrão de crescimento territorialmente desconcentrado.</w:t>
            </w:r>
          </w:p>
        </w:tc>
        <w:tc>
          <w:tcPr>
            <w:tcW w:w="1276" w:type="dxa"/>
            <w:tcBorders>
              <w:left w:val="nil"/>
              <w:right w:val="nil"/>
            </w:tcBorders>
            <w:vAlign w:val="center"/>
          </w:tcPr>
          <w:p w:rsidR="004E78DC" w:rsidRDefault="004E78DC" w:rsidP="006C269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w:t>
            </w:r>
            <w:r w:rsidR="006C2692">
              <w:rPr>
                <w:rFonts w:ascii="Times New Roman" w:hAnsi="Times New Roman" w:cs="Times New Roman"/>
                <w:sz w:val="20"/>
                <w:szCs w:val="20"/>
              </w:rPr>
              <w:t>IB Municipal</w:t>
            </w:r>
            <w:r w:rsidR="0080290D">
              <w:rPr>
                <w:rFonts w:ascii="Times New Roman" w:hAnsi="Times New Roman" w:cs="Times New Roman"/>
                <w:sz w:val="20"/>
                <w:szCs w:val="20"/>
              </w:rPr>
              <w:t>/</w:t>
            </w:r>
          </w:p>
          <w:p w:rsidR="0080290D" w:rsidRPr="00444158" w:rsidRDefault="0080290D" w:rsidP="006C269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IBGE</w:t>
            </w:r>
          </w:p>
        </w:tc>
        <w:tc>
          <w:tcPr>
            <w:tcW w:w="1275" w:type="dxa"/>
            <w:tcBorders>
              <w:left w:val="nil"/>
              <w:right w:val="nil"/>
            </w:tcBorders>
            <w:vAlign w:val="center"/>
          </w:tcPr>
          <w:p w:rsidR="004E78DC" w:rsidRPr="00444158" w:rsidRDefault="004E78DC" w:rsidP="00E61F2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1999</w:t>
            </w:r>
            <w:r w:rsidR="00E61F26">
              <w:rPr>
                <w:rFonts w:ascii="Times New Roman" w:hAnsi="Times New Roman" w:cs="Times New Roman"/>
                <w:sz w:val="20"/>
                <w:szCs w:val="20"/>
              </w:rPr>
              <w:t>-2008</w:t>
            </w:r>
            <w:r>
              <w:rPr>
                <w:rFonts w:ascii="Times New Roman" w:hAnsi="Times New Roman" w:cs="Times New Roman"/>
                <w:sz w:val="20"/>
                <w:szCs w:val="20"/>
              </w:rPr>
              <w:t xml:space="preserve"> </w:t>
            </w:r>
          </w:p>
        </w:tc>
        <w:tc>
          <w:tcPr>
            <w:tcW w:w="1559" w:type="dxa"/>
            <w:tcBorders>
              <w:left w:val="nil"/>
              <w:right w:val="nil"/>
            </w:tcBorders>
            <w:vAlign w:val="center"/>
          </w:tcPr>
          <w:p w:rsidR="004E78DC" w:rsidRPr="00444158" w:rsidRDefault="006C2692" w:rsidP="00575B5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Brasil</w:t>
            </w:r>
          </w:p>
        </w:tc>
        <w:tc>
          <w:tcPr>
            <w:tcW w:w="1276" w:type="dxa"/>
            <w:tcBorders>
              <w:left w:val="nil"/>
              <w:right w:val="nil"/>
            </w:tcBorders>
            <w:vAlign w:val="center"/>
          </w:tcPr>
          <w:p w:rsidR="004E78DC" w:rsidRPr="00444158" w:rsidRDefault="004E78DC" w:rsidP="00E61F2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Índice de Theil-T</w:t>
            </w:r>
          </w:p>
        </w:tc>
      </w:tr>
      <w:tr w:rsidR="004E78DC" w:rsidTr="00877DDB">
        <w:tc>
          <w:tcPr>
            <w:tcW w:w="1242" w:type="dxa"/>
            <w:tcBorders>
              <w:left w:val="nil"/>
              <w:right w:val="nil"/>
            </w:tcBorders>
            <w:vAlign w:val="center"/>
          </w:tcPr>
          <w:p w:rsidR="004E78DC" w:rsidRDefault="002E3DFD" w:rsidP="002E3DFD">
            <w:pPr>
              <w:spacing w:after="0" w:line="240" w:lineRule="auto"/>
              <w:rPr>
                <w:rFonts w:ascii="Times New Roman" w:hAnsi="Times New Roman" w:cs="Times New Roman"/>
                <w:sz w:val="20"/>
                <w:szCs w:val="20"/>
              </w:rPr>
            </w:pPr>
            <w:r>
              <w:rPr>
                <w:rFonts w:ascii="Times New Roman" w:hAnsi="Times New Roman" w:cs="Times New Roman"/>
                <w:sz w:val="20"/>
                <w:szCs w:val="20"/>
              </w:rPr>
              <w:t>Santos et al. (2015)</w:t>
            </w:r>
          </w:p>
        </w:tc>
        <w:tc>
          <w:tcPr>
            <w:tcW w:w="2552" w:type="dxa"/>
            <w:tcBorders>
              <w:left w:val="nil"/>
              <w:right w:val="nil"/>
            </w:tcBorders>
            <w:vAlign w:val="center"/>
          </w:tcPr>
          <w:p w:rsidR="004E78DC" w:rsidRDefault="00C02991"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 disparidade de renda nas mesorregiões pernambucanas e no estado de Pernambuco depende, em maior parte, da desigualdade nos setores de atividade e menos da diferença de renda entre os níveis de ins</w:t>
            </w:r>
            <w:r w:rsidR="00CD5068">
              <w:rPr>
                <w:rFonts w:ascii="Times New Roman" w:hAnsi="Times New Roman" w:cs="Times New Roman"/>
                <w:sz w:val="20"/>
                <w:szCs w:val="20"/>
              </w:rPr>
              <w:t>t</w:t>
            </w:r>
            <w:r>
              <w:rPr>
                <w:rFonts w:ascii="Times New Roman" w:hAnsi="Times New Roman" w:cs="Times New Roman"/>
                <w:sz w:val="20"/>
                <w:szCs w:val="20"/>
              </w:rPr>
              <w:t>rução.</w:t>
            </w:r>
          </w:p>
        </w:tc>
        <w:tc>
          <w:tcPr>
            <w:tcW w:w="1276" w:type="dxa"/>
            <w:tcBorders>
              <w:left w:val="nil"/>
              <w:right w:val="nil"/>
            </w:tcBorders>
            <w:vAlign w:val="center"/>
          </w:tcPr>
          <w:p w:rsidR="004E78DC" w:rsidRDefault="002E3DF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CENSO</w:t>
            </w:r>
            <w:r w:rsidR="0080290D">
              <w:rPr>
                <w:rFonts w:ascii="Times New Roman" w:hAnsi="Times New Roman" w:cs="Times New Roman"/>
                <w:sz w:val="20"/>
                <w:szCs w:val="20"/>
              </w:rPr>
              <w:t>/</w:t>
            </w:r>
          </w:p>
          <w:p w:rsidR="0080290D"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IBGE</w:t>
            </w:r>
          </w:p>
        </w:tc>
        <w:tc>
          <w:tcPr>
            <w:tcW w:w="1275" w:type="dxa"/>
            <w:tcBorders>
              <w:left w:val="nil"/>
              <w:right w:val="nil"/>
            </w:tcBorders>
            <w:vAlign w:val="center"/>
          </w:tcPr>
          <w:p w:rsidR="004E78DC"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1991, 2000 e 2010</w:t>
            </w:r>
          </w:p>
        </w:tc>
        <w:tc>
          <w:tcPr>
            <w:tcW w:w="1559" w:type="dxa"/>
            <w:tcBorders>
              <w:left w:val="nil"/>
              <w:right w:val="nil"/>
            </w:tcBorders>
            <w:vAlign w:val="center"/>
          </w:tcPr>
          <w:p w:rsidR="004E78DC"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Todas as mesorregiões de Pernambuco</w:t>
            </w:r>
          </w:p>
        </w:tc>
        <w:tc>
          <w:tcPr>
            <w:tcW w:w="1276" w:type="dxa"/>
            <w:tcBorders>
              <w:left w:val="nil"/>
              <w:right w:val="nil"/>
            </w:tcBorders>
            <w:vAlign w:val="center"/>
          </w:tcPr>
          <w:p w:rsidR="004E78DC" w:rsidRDefault="0080290D" w:rsidP="00877DD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Índice de Theil-T</w:t>
            </w:r>
          </w:p>
        </w:tc>
      </w:tr>
    </w:tbl>
    <w:p w:rsidR="0003731D" w:rsidRPr="00BB2C75" w:rsidRDefault="0003731D" w:rsidP="0003731D">
      <w:pPr>
        <w:spacing w:line="360" w:lineRule="auto"/>
        <w:jc w:val="both"/>
        <w:rPr>
          <w:rFonts w:ascii="Times New Roman" w:hAnsi="Times New Roman" w:cs="Times New Roman"/>
          <w:sz w:val="20"/>
          <w:szCs w:val="20"/>
        </w:rPr>
      </w:pPr>
      <w:r>
        <w:rPr>
          <w:rFonts w:ascii="Times New Roman" w:hAnsi="Times New Roman" w:cs="Times New Roman"/>
          <w:sz w:val="20"/>
          <w:szCs w:val="20"/>
        </w:rPr>
        <w:t>Fonte: Elaboração própria.</w:t>
      </w:r>
    </w:p>
    <w:p w:rsidR="00FF30E6" w:rsidRDefault="00FF30E6" w:rsidP="00FF30E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Assim sendo, para Ramos (2007) a partir do índice Theil-T para a desigualdade e perfil de rendimentos associados à educação, ficou evidente que essa teve um desempenho importante para a queda da desigualdade de rendimentos individuais no período compreendido entre 1995-2005. Além de ter evidenciado que a heterogeneidade dos </w:t>
      </w:r>
      <w:r>
        <w:rPr>
          <w:rFonts w:ascii="Times New Roman" w:hAnsi="Times New Roman" w:cs="Times New Roman"/>
          <w:sz w:val="24"/>
          <w:szCs w:val="24"/>
        </w:rPr>
        <w:lastRenderedPageBreak/>
        <w:t xml:space="preserve">trabalhadores foi, por larga margem, a principal fonte de dispersão de rendimentos individuais, respondendo por 40% da desigualdade total quando considerada isoladamente, e cerca de 30% quando considerada em conjunto com as demais variáveis. </w:t>
      </w:r>
    </w:p>
    <w:p w:rsidR="00FF30E6" w:rsidRDefault="00FF30E6" w:rsidP="00FF30E6">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Utilizando a mesma abordagem do índice de Theil-T, Salvato e Souza (200</w:t>
      </w:r>
      <w:r w:rsidR="00BD0274">
        <w:rPr>
          <w:rStyle w:val="Hyperlink"/>
          <w:rFonts w:ascii="Times New Roman" w:hAnsi="Times New Roman" w:cs="Times New Roman"/>
          <w:color w:val="000000" w:themeColor="text1"/>
          <w:sz w:val="24"/>
          <w:szCs w:val="24"/>
          <w:u w:val="none"/>
        </w:rPr>
        <w:t>8</w:t>
      </w:r>
      <w:r>
        <w:rPr>
          <w:rStyle w:val="Hyperlink"/>
          <w:rFonts w:ascii="Times New Roman" w:hAnsi="Times New Roman" w:cs="Times New Roman"/>
          <w:color w:val="000000" w:themeColor="text1"/>
          <w:sz w:val="24"/>
          <w:szCs w:val="24"/>
          <w:u w:val="none"/>
        </w:rPr>
        <w:t xml:space="preserve">), concluíram que a desigualdade brasileira estava acima da desigualdade de todas as regiões exceto do Nordeste durante o período de 1995 a 2006, sendo a menor desigualdade encontrada no Sul do país. Quanto à queda da desigualdade a queda brasileira foi de 11,4%, sendo a maior queda apresentada pela região Norte 23,43% e a menor pela região Nordeste 5%. Porém, a queda entre 1995 e 1999 foi maior do que a encontrada entre 1999 e 2006, tendo este último período apresentado até mesmo aumentos de desigualdade em algumas regiões. </w:t>
      </w:r>
    </w:p>
    <w:p w:rsidR="00CD5465" w:rsidRDefault="00E347A3"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Outro trabalho que evidenciou a decomposição do índice T de Theil foi o proposto por </w:t>
      </w:r>
      <w:r w:rsidR="00DF7955">
        <w:rPr>
          <w:rStyle w:val="Hyperlink"/>
          <w:rFonts w:ascii="Times New Roman" w:hAnsi="Times New Roman" w:cs="Times New Roman"/>
          <w:color w:val="000000" w:themeColor="text1"/>
          <w:sz w:val="24"/>
          <w:szCs w:val="24"/>
          <w:u w:val="none"/>
        </w:rPr>
        <w:t>Araujo, Salvato e Souza (</w:t>
      </w:r>
      <w:r w:rsidR="008609B6">
        <w:rPr>
          <w:rStyle w:val="Hyperlink"/>
          <w:rFonts w:ascii="Times New Roman" w:hAnsi="Times New Roman" w:cs="Times New Roman"/>
          <w:color w:val="000000" w:themeColor="text1"/>
          <w:sz w:val="24"/>
          <w:szCs w:val="24"/>
          <w:u w:val="none"/>
        </w:rPr>
        <w:t>2008</w:t>
      </w:r>
      <w:r w:rsidR="00DF7955">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onde</w:t>
      </w:r>
      <w:r w:rsidR="00DF7955">
        <w:rPr>
          <w:rStyle w:val="Hyperlink"/>
          <w:rFonts w:ascii="Times New Roman" w:hAnsi="Times New Roman" w:cs="Times New Roman"/>
          <w:color w:val="000000" w:themeColor="text1"/>
          <w:sz w:val="24"/>
          <w:szCs w:val="24"/>
          <w:u w:val="none"/>
        </w:rPr>
        <w:t xml:space="preserve"> analisaram a evolução da desigualdade de renda no Brasil e nos estados que formam a região</w:t>
      </w:r>
      <w:r w:rsidR="00220C19">
        <w:rPr>
          <w:rStyle w:val="Hyperlink"/>
          <w:rFonts w:ascii="Times New Roman" w:hAnsi="Times New Roman" w:cs="Times New Roman"/>
          <w:color w:val="000000" w:themeColor="text1"/>
          <w:sz w:val="24"/>
          <w:szCs w:val="24"/>
          <w:u w:val="none"/>
        </w:rPr>
        <w:t xml:space="preserve"> S</w:t>
      </w:r>
      <w:r w:rsidR="00DF7955">
        <w:rPr>
          <w:rStyle w:val="Hyperlink"/>
          <w:rFonts w:ascii="Times New Roman" w:hAnsi="Times New Roman" w:cs="Times New Roman"/>
          <w:color w:val="000000" w:themeColor="text1"/>
          <w:sz w:val="24"/>
          <w:szCs w:val="24"/>
          <w:u w:val="none"/>
        </w:rPr>
        <w:t xml:space="preserve">ul no período 1995, 1999 e 2002-2006, </w:t>
      </w:r>
      <w:r w:rsidR="00220C19">
        <w:rPr>
          <w:rStyle w:val="Hyperlink"/>
          <w:rFonts w:ascii="Times New Roman" w:hAnsi="Times New Roman" w:cs="Times New Roman"/>
          <w:color w:val="000000" w:themeColor="text1"/>
          <w:sz w:val="24"/>
          <w:szCs w:val="24"/>
          <w:u w:val="none"/>
        </w:rPr>
        <w:t>com dados da Pesquisa Nacional por Amostra de Domicílios PNAD</w:t>
      </w:r>
      <w:r w:rsidR="002B6C8E">
        <w:rPr>
          <w:rStyle w:val="Hyperlink"/>
          <w:rFonts w:ascii="Times New Roman" w:hAnsi="Times New Roman" w:cs="Times New Roman"/>
          <w:color w:val="000000" w:themeColor="text1"/>
          <w:sz w:val="24"/>
          <w:szCs w:val="24"/>
          <w:u w:val="none"/>
        </w:rPr>
        <w:t>. O</w:t>
      </w:r>
      <w:r w:rsidR="00DF7955">
        <w:rPr>
          <w:rStyle w:val="Hyperlink"/>
          <w:rFonts w:ascii="Times New Roman" w:hAnsi="Times New Roman" w:cs="Times New Roman"/>
          <w:color w:val="000000" w:themeColor="text1"/>
          <w:sz w:val="24"/>
          <w:szCs w:val="24"/>
          <w:u w:val="none"/>
        </w:rPr>
        <w:t xml:space="preserve">bservaram que a distribuição </w:t>
      </w:r>
      <w:r w:rsidR="002B6C8E">
        <w:rPr>
          <w:rStyle w:val="Hyperlink"/>
          <w:rFonts w:ascii="Times New Roman" w:hAnsi="Times New Roman" w:cs="Times New Roman"/>
          <w:color w:val="000000" w:themeColor="text1"/>
          <w:sz w:val="24"/>
          <w:szCs w:val="24"/>
          <w:u w:val="none"/>
        </w:rPr>
        <w:t>é menos desigual nos estados do que no Brasil como todo, sobretudo no Rio Grande do Sul.</w:t>
      </w:r>
      <w:r w:rsidR="00CD5465">
        <w:rPr>
          <w:rStyle w:val="Hyperlink"/>
          <w:rFonts w:ascii="Times New Roman" w:hAnsi="Times New Roman" w:cs="Times New Roman"/>
          <w:color w:val="000000" w:themeColor="text1"/>
          <w:sz w:val="24"/>
          <w:szCs w:val="24"/>
          <w:u w:val="none"/>
        </w:rPr>
        <w:t xml:space="preserve"> Foi constatada, também, </w:t>
      </w:r>
      <w:r>
        <w:rPr>
          <w:rStyle w:val="Hyperlink"/>
          <w:rFonts w:ascii="Times New Roman" w:hAnsi="Times New Roman" w:cs="Times New Roman"/>
          <w:color w:val="000000" w:themeColor="text1"/>
          <w:sz w:val="24"/>
          <w:szCs w:val="24"/>
          <w:u w:val="none"/>
        </w:rPr>
        <w:t>que a participação do componente intra-grupo educacional é extremamente elevada, nesse sentido concluíram que existem outros fatores não identificados que explicam mais da metade da desigualdade de renda. Dessa forma, pode-se dizer que os componentes rural/urbano, gênero, raça e educação explica</w:t>
      </w:r>
      <w:r w:rsidR="00D2490C">
        <w:rPr>
          <w:rStyle w:val="Hyperlink"/>
          <w:rFonts w:ascii="Times New Roman" w:hAnsi="Times New Roman" w:cs="Times New Roman"/>
          <w:color w:val="000000" w:themeColor="text1"/>
          <w:sz w:val="24"/>
          <w:szCs w:val="24"/>
          <w:u w:val="none"/>
        </w:rPr>
        <w:t>ram</w:t>
      </w:r>
      <w:r>
        <w:rPr>
          <w:rStyle w:val="Hyperlink"/>
          <w:rFonts w:ascii="Times New Roman" w:hAnsi="Times New Roman" w:cs="Times New Roman"/>
          <w:color w:val="000000" w:themeColor="text1"/>
          <w:sz w:val="24"/>
          <w:szCs w:val="24"/>
          <w:u w:val="none"/>
        </w:rPr>
        <w:t xml:space="preserve">, juntos, aproximadamente 45% da desigualdade de renda brasileira, 40% da disparidade de renda dos estados </w:t>
      </w:r>
      <w:r w:rsidR="00846725">
        <w:rPr>
          <w:rStyle w:val="Hyperlink"/>
          <w:rFonts w:ascii="Times New Roman" w:hAnsi="Times New Roman" w:cs="Times New Roman"/>
          <w:color w:val="000000" w:themeColor="text1"/>
          <w:sz w:val="24"/>
          <w:szCs w:val="24"/>
          <w:u w:val="none"/>
        </w:rPr>
        <w:t>do sul.</w:t>
      </w:r>
    </w:p>
    <w:p w:rsidR="002522E9" w:rsidRDefault="00D2490C"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No cenário da desigualdade de renda para o Nordeste, deve-se destacar o trabalho de </w:t>
      </w:r>
      <w:r w:rsidR="00220C19">
        <w:rPr>
          <w:rStyle w:val="Hyperlink"/>
          <w:rFonts w:ascii="Times New Roman" w:hAnsi="Times New Roman" w:cs="Times New Roman"/>
          <w:color w:val="000000" w:themeColor="text1"/>
          <w:sz w:val="24"/>
          <w:szCs w:val="24"/>
          <w:u w:val="none"/>
        </w:rPr>
        <w:t>Caldas e Menezes (2010)</w:t>
      </w:r>
      <w:r>
        <w:rPr>
          <w:rStyle w:val="Hyperlink"/>
          <w:rFonts w:ascii="Times New Roman" w:hAnsi="Times New Roman" w:cs="Times New Roman"/>
          <w:color w:val="000000" w:themeColor="text1"/>
          <w:sz w:val="24"/>
          <w:szCs w:val="24"/>
          <w:u w:val="none"/>
        </w:rPr>
        <w:t>. As autoras ob</w:t>
      </w:r>
      <w:r w:rsidR="002522E9">
        <w:rPr>
          <w:rStyle w:val="Hyperlink"/>
          <w:rFonts w:ascii="Times New Roman" w:hAnsi="Times New Roman" w:cs="Times New Roman"/>
          <w:color w:val="000000" w:themeColor="text1"/>
          <w:sz w:val="24"/>
          <w:szCs w:val="24"/>
          <w:u w:val="none"/>
        </w:rPr>
        <w:t xml:space="preserve">servaram </w:t>
      </w:r>
      <w:r w:rsidR="00E11B33">
        <w:rPr>
          <w:rStyle w:val="Hyperlink"/>
          <w:rFonts w:ascii="Times New Roman" w:hAnsi="Times New Roman" w:cs="Times New Roman"/>
          <w:color w:val="000000" w:themeColor="text1"/>
          <w:sz w:val="24"/>
          <w:szCs w:val="24"/>
          <w:u w:val="none"/>
        </w:rPr>
        <w:t>que a</w:t>
      </w:r>
      <w:r w:rsidR="002522E9">
        <w:rPr>
          <w:rStyle w:val="Hyperlink"/>
          <w:rFonts w:ascii="Times New Roman" w:hAnsi="Times New Roman" w:cs="Times New Roman"/>
          <w:color w:val="000000" w:themeColor="text1"/>
          <w:sz w:val="24"/>
          <w:szCs w:val="24"/>
          <w:u w:val="none"/>
        </w:rPr>
        <w:t xml:space="preserve"> distribuição de renda é menos desigual no Brasil, como um todo, do que no Nordeste e em seus respectivos estados. Foi constatada, também, a redução da desigualdade em cinco dos nove estados do Nordeste, com exceção do Maranhão, Piauí, Pernambuco e Alagoas, que sofreram aumento do índice T de Theil entre 1996 e 2006.</w:t>
      </w:r>
    </w:p>
    <w:p w:rsidR="002522E9" w:rsidRDefault="0052719C"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De acordo com as autoras supracitadas a disparidade de renda urbana também se reduziu, tanto no Brasil quanto no Nordeste. Já nos estados nordestinos, alguns casos de aumentos na desigualdade de renda urbana foram observados, como, por exemplo, os estados do Maranhão, Piauí, Pernambuco e Alagoas. Os demais</w:t>
      </w:r>
      <w:r w:rsidR="006A735C">
        <w:rPr>
          <w:rStyle w:val="Hyperlink"/>
          <w:rFonts w:ascii="Times New Roman" w:hAnsi="Times New Roman" w:cs="Times New Roman"/>
          <w:color w:val="000000" w:themeColor="text1"/>
          <w:sz w:val="24"/>
          <w:szCs w:val="24"/>
          <w:u w:val="none"/>
        </w:rPr>
        <w:t xml:space="preserve"> estados apresentaram queda ou permaneceram estáveis. Na área rural, quase todos os estados apresentaram queda na desigualdade, com exceção do Ceará, Rio Grande do Norte, Alagoas e Sergipe.</w:t>
      </w:r>
    </w:p>
    <w:p w:rsidR="006A735C" w:rsidRDefault="00842783" w:rsidP="00220C19">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Silva e Fonseca Neto (2012) ao verificarem a concentração do PIB </w:t>
      </w:r>
      <w:r>
        <w:rPr>
          <w:rStyle w:val="Hyperlink"/>
          <w:rFonts w:ascii="Times New Roman" w:hAnsi="Times New Roman" w:cs="Times New Roman"/>
          <w:i/>
          <w:color w:val="000000" w:themeColor="text1"/>
          <w:sz w:val="24"/>
          <w:szCs w:val="24"/>
          <w:u w:val="none"/>
        </w:rPr>
        <w:t xml:space="preserve">per capita </w:t>
      </w:r>
      <w:r>
        <w:rPr>
          <w:rStyle w:val="Hyperlink"/>
          <w:rFonts w:ascii="Times New Roman" w:hAnsi="Times New Roman" w:cs="Times New Roman"/>
          <w:color w:val="000000" w:themeColor="text1"/>
          <w:sz w:val="24"/>
          <w:szCs w:val="24"/>
          <w:u w:val="none"/>
        </w:rPr>
        <w:t>no Nordeste</w:t>
      </w:r>
      <w:r w:rsidR="00D846AB">
        <w:rPr>
          <w:rStyle w:val="Hyperlink"/>
          <w:rFonts w:ascii="Times New Roman" w:hAnsi="Times New Roman" w:cs="Times New Roman"/>
          <w:color w:val="000000" w:themeColor="text1"/>
          <w:sz w:val="24"/>
          <w:szCs w:val="24"/>
          <w:u w:val="none"/>
        </w:rPr>
        <w:t xml:space="preserve"> constataram</w:t>
      </w:r>
      <w:r>
        <w:rPr>
          <w:rStyle w:val="Hyperlink"/>
          <w:rFonts w:ascii="Times New Roman" w:hAnsi="Times New Roman" w:cs="Times New Roman"/>
          <w:color w:val="000000" w:themeColor="text1"/>
          <w:sz w:val="24"/>
          <w:szCs w:val="24"/>
          <w:u w:val="none"/>
        </w:rPr>
        <w:t xml:space="preserve"> que a mesma reduziu-se tendencialmente em 0,8% a.a., resultante da contribuição exercida </w:t>
      </w:r>
      <w:r w:rsidR="00D846AB">
        <w:rPr>
          <w:rStyle w:val="Hyperlink"/>
          <w:rFonts w:ascii="Times New Roman" w:hAnsi="Times New Roman" w:cs="Times New Roman"/>
          <w:color w:val="000000" w:themeColor="text1"/>
          <w:sz w:val="24"/>
          <w:szCs w:val="24"/>
          <w:u w:val="none"/>
        </w:rPr>
        <w:t>tanto entre estados, de -0,6 pontos percentuais ao ano (p.p.a.a.), quanto entre os municípios, -0,2 p.p.a.a.. Os resultados tiveram como principais determinantes o crescimento acima da média regional no Maranhão (4,0% a.a. em comparação a 2,6% a.a.) e abaixo da média nas regiões metropolitanas de Salvador, Recife e Fortaleza.</w:t>
      </w:r>
    </w:p>
    <w:p w:rsidR="00A76341" w:rsidRDefault="00C12C17" w:rsidP="00A76341">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Santos et al. (2015) a partir da variável rendimento de todos os trabalhos publicada nos censos demográficos de 1991, 2000 e 2010, encontraram como um dos principais resultados da pesquisa que a maior desigualdade de renda na área urbana está </w:t>
      </w:r>
      <w:r w:rsidR="00461BA5">
        <w:rPr>
          <w:rStyle w:val="Hyperlink"/>
          <w:rFonts w:ascii="Times New Roman" w:hAnsi="Times New Roman" w:cs="Times New Roman"/>
          <w:color w:val="000000" w:themeColor="text1"/>
          <w:sz w:val="24"/>
          <w:szCs w:val="24"/>
          <w:u w:val="none"/>
        </w:rPr>
        <w:t xml:space="preserve">no São Francisco Pernambucano, enquanto que a Mata Pernambucana apresentou a menor disparidade de renda rural. A disparidade de renda nas mesorregiões pernambucanas e no estado de Pernambuco depende, em maior parte, da desigualdade nos setores de atividade e menos da diferença de renda entre os níveis de instrução. </w:t>
      </w:r>
    </w:p>
    <w:p w:rsidR="001D3B08" w:rsidRDefault="00802004" w:rsidP="005062E1">
      <w:pPr>
        <w:spacing w:line="360" w:lineRule="auto"/>
        <w:jc w:val="both"/>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lastRenderedPageBreak/>
        <w:t>4</w:t>
      </w:r>
      <w:r w:rsidR="001D3B08" w:rsidRPr="001D3B08">
        <w:rPr>
          <w:rStyle w:val="Hyperlink"/>
          <w:rFonts w:ascii="Times New Roman" w:hAnsi="Times New Roman" w:cs="Times New Roman"/>
          <w:b/>
          <w:color w:val="000000" w:themeColor="text1"/>
          <w:sz w:val="24"/>
          <w:szCs w:val="24"/>
          <w:u w:val="none"/>
        </w:rPr>
        <w:t xml:space="preserve">. </w:t>
      </w:r>
      <w:r w:rsidR="00C371E5" w:rsidRPr="001D3B08">
        <w:rPr>
          <w:rStyle w:val="Hyperlink"/>
          <w:rFonts w:ascii="Times New Roman" w:hAnsi="Times New Roman" w:cs="Times New Roman"/>
          <w:b/>
          <w:color w:val="000000" w:themeColor="text1"/>
          <w:sz w:val="24"/>
          <w:szCs w:val="24"/>
          <w:u w:val="none"/>
        </w:rPr>
        <w:t>DECOMPOSIÇÃO DE</w:t>
      </w:r>
      <w:r w:rsidR="00C371E5">
        <w:rPr>
          <w:rStyle w:val="Hyperlink"/>
          <w:rFonts w:ascii="Times New Roman" w:hAnsi="Times New Roman" w:cs="Times New Roman"/>
          <w:b/>
          <w:color w:val="000000" w:themeColor="text1"/>
          <w:sz w:val="24"/>
          <w:szCs w:val="24"/>
          <w:u w:val="none"/>
        </w:rPr>
        <w:t xml:space="preserve"> </w:t>
      </w:r>
      <w:r w:rsidR="00C371E5" w:rsidRPr="001D3B08">
        <w:rPr>
          <w:rStyle w:val="Hyperlink"/>
          <w:rFonts w:ascii="Times New Roman" w:hAnsi="Times New Roman" w:cs="Times New Roman"/>
          <w:b/>
          <w:color w:val="000000" w:themeColor="text1"/>
          <w:sz w:val="24"/>
          <w:szCs w:val="24"/>
          <w:u w:val="none"/>
        </w:rPr>
        <w:t xml:space="preserve">THEIL </w:t>
      </w:r>
      <w:r w:rsidR="00C371E5">
        <w:rPr>
          <w:rStyle w:val="Hyperlink"/>
          <w:rFonts w:ascii="Times New Roman" w:hAnsi="Times New Roman" w:cs="Times New Roman"/>
          <w:b/>
          <w:color w:val="000000" w:themeColor="text1"/>
          <w:sz w:val="24"/>
          <w:szCs w:val="24"/>
          <w:u w:val="none"/>
        </w:rPr>
        <w:t>–</w:t>
      </w:r>
      <w:r w:rsidR="00C371E5" w:rsidRPr="001D3B08">
        <w:rPr>
          <w:rStyle w:val="Hyperlink"/>
          <w:rFonts w:ascii="Times New Roman" w:hAnsi="Times New Roman" w:cs="Times New Roman"/>
          <w:b/>
          <w:color w:val="000000" w:themeColor="text1"/>
          <w:sz w:val="24"/>
          <w:szCs w:val="24"/>
          <w:u w:val="none"/>
        </w:rPr>
        <w:t xml:space="preserve"> T</w:t>
      </w:r>
    </w:p>
    <w:p w:rsidR="001D4296" w:rsidRPr="00A76341" w:rsidRDefault="00802004" w:rsidP="00A76341">
      <w:pPr>
        <w:spacing w:line="240" w:lineRule="auto"/>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4</w:t>
      </w:r>
      <w:r w:rsidR="001D3B08" w:rsidRPr="001D3B08">
        <w:rPr>
          <w:rStyle w:val="Hyperlink"/>
          <w:rFonts w:ascii="Times New Roman" w:hAnsi="Times New Roman" w:cs="Times New Roman"/>
          <w:b/>
          <w:color w:val="000000" w:themeColor="text1"/>
          <w:sz w:val="24"/>
          <w:szCs w:val="24"/>
          <w:u w:val="none"/>
        </w:rPr>
        <w:t>.1 D</w:t>
      </w:r>
      <w:r w:rsidR="00D30D76">
        <w:rPr>
          <w:rStyle w:val="Hyperlink"/>
          <w:rFonts w:ascii="Times New Roman" w:hAnsi="Times New Roman" w:cs="Times New Roman"/>
          <w:b/>
          <w:color w:val="000000" w:themeColor="text1"/>
          <w:sz w:val="24"/>
          <w:szCs w:val="24"/>
          <w:u w:val="none"/>
        </w:rPr>
        <w:t>ADOS</w:t>
      </w:r>
    </w:p>
    <w:p w:rsidR="005062E1" w:rsidRPr="001D3B08" w:rsidRDefault="001D3B08" w:rsidP="00A76341">
      <w:pPr>
        <w:spacing w:line="240" w:lineRule="auto"/>
        <w:ind w:firstLine="709"/>
        <w:jc w:val="both"/>
        <w:rPr>
          <w:rStyle w:val="Hyperlink"/>
          <w:rFonts w:ascii="Times New Roman" w:hAnsi="Times New Roman" w:cs="Times New Roman"/>
          <w:color w:val="000000" w:themeColor="text1"/>
          <w:sz w:val="24"/>
          <w:szCs w:val="24"/>
          <w:u w:val="none"/>
        </w:rPr>
      </w:pPr>
      <w:r w:rsidRPr="00844F92">
        <w:rPr>
          <w:rStyle w:val="Hyperlink"/>
          <w:rFonts w:ascii="Times New Roman" w:hAnsi="Times New Roman" w:cs="Times New Roman"/>
          <w:color w:val="000000" w:themeColor="text1"/>
          <w:sz w:val="24"/>
          <w:szCs w:val="24"/>
          <w:u w:val="none"/>
        </w:rPr>
        <w:t xml:space="preserve">Os dados utilizados no trabalho foram obtidos a partir do PIB do estado de Pernambuco para os anos de </w:t>
      </w:r>
      <w:r w:rsidR="001B2020" w:rsidRPr="00844F92">
        <w:rPr>
          <w:rStyle w:val="Hyperlink"/>
          <w:rFonts w:ascii="Times New Roman" w:hAnsi="Times New Roman" w:cs="Times New Roman"/>
          <w:color w:val="000000" w:themeColor="text1"/>
          <w:sz w:val="24"/>
          <w:szCs w:val="24"/>
          <w:u w:val="none"/>
        </w:rPr>
        <w:t>200</w:t>
      </w:r>
      <w:r w:rsidR="00844F92" w:rsidRPr="00844F92">
        <w:rPr>
          <w:rStyle w:val="Hyperlink"/>
          <w:rFonts w:ascii="Times New Roman" w:hAnsi="Times New Roman" w:cs="Times New Roman"/>
          <w:color w:val="000000" w:themeColor="text1"/>
          <w:sz w:val="24"/>
          <w:szCs w:val="24"/>
          <w:u w:val="none"/>
        </w:rPr>
        <w:t>2</w:t>
      </w:r>
      <w:r w:rsidR="001B2020" w:rsidRPr="00844F92">
        <w:rPr>
          <w:rStyle w:val="Hyperlink"/>
          <w:rFonts w:ascii="Times New Roman" w:hAnsi="Times New Roman" w:cs="Times New Roman"/>
          <w:color w:val="000000" w:themeColor="text1"/>
          <w:sz w:val="24"/>
          <w:szCs w:val="24"/>
          <w:u w:val="none"/>
        </w:rPr>
        <w:t>-2012</w:t>
      </w:r>
      <w:r w:rsidRPr="00844F92">
        <w:rPr>
          <w:rStyle w:val="Hyperlink"/>
          <w:rFonts w:ascii="Times New Roman" w:hAnsi="Times New Roman" w:cs="Times New Roman"/>
          <w:color w:val="000000" w:themeColor="text1"/>
          <w:sz w:val="24"/>
          <w:szCs w:val="24"/>
          <w:u w:val="none"/>
        </w:rPr>
        <w:t xml:space="preserve"> disponibilizados pelo IBGE.</w:t>
      </w:r>
      <w:r w:rsidR="00EB516A" w:rsidRPr="00844F92">
        <w:rPr>
          <w:rStyle w:val="Hyperlink"/>
          <w:rFonts w:ascii="Times New Roman" w:hAnsi="Times New Roman" w:cs="Times New Roman"/>
          <w:color w:val="000000" w:themeColor="text1"/>
          <w:sz w:val="24"/>
          <w:szCs w:val="24"/>
          <w:u w:val="none"/>
        </w:rPr>
        <w:t xml:space="preserve"> O índice de Gini foi obtido </w:t>
      </w:r>
      <w:r w:rsidR="00844F92" w:rsidRPr="00844F92">
        <w:rPr>
          <w:rStyle w:val="Hyperlink"/>
          <w:rFonts w:ascii="Times New Roman" w:hAnsi="Times New Roman" w:cs="Times New Roman"/>
          <w:color w:val="000000" w:themeColor="text1"/>
          <w:sz w:val="24"/>
          <w:szCs w:val="24"/>
          <w:u w:val="none"/>
        </w:rPr>
        <w:t>n</w:t>
      </w:r>
      <w:r w:rsidR="00EB516A" w:rsidRPr="00844F92">
        <w:rPr>
          <w:rStyle w:val="Hyperlink"/>
          <w:rFonts w:ascii="Times New Roman" w:hAnsi="Times New Roman" w:cs="Times New Roman"/>
          <w:color w:val="000000" w:themeColor="text1"/>
          <w:sz w:val="24"/>
          <w:szCs w:val="24"/>
          <w:u w:val="none"/>
        </w:rPr>
        <w:t>o IBGE a partir de dados da</w:t>
      </w:r>
      <w:r w:rsidR="005132E6" w:rsidRPr="00844F92">
        <w:rPr>
          <w:rStyle w:val="Hyperlink"/>
          <w:rFonts w:ascii="Times New Roman" w:hAnsi="Times New Roman" w:cs="Times New Roman"/>
          <w:color w:val="000000" w:themeColor="text1"/>
          <w:sz w:val="24"/>
          <w:szCs w:val="24"/>
          <w:u w:val="none"/>
        </w:rPr>
        <w:t xml:space="preserve"> Pesquisa Nacional Domiciliar</w:t>
      </w:r>
      <w:r w:rsidR="00EB516A" w:rsidRPr="00844F92">
        <w:rPr>
          <w:rStyle w:val="Hyperlink"/>
          <w:rFonts w:ascii="Times New Roman" w:hAnsi="Times New Roman" w:cs="Times New Roman"/>
          <w:color w:val="000000" w:themeColor="text1"/>
          <w:sz w:val="24"/>
          <w:szCs w:val="24"/>
          <w:u w:val="none"/>
        </w:rPr>
        <w:t xml:space="preserve"> </w:t>
      </w:r>
      <w:r w:rsidR="000E47F0" w:rsidRPr="00844F92">
        <w:rPr>
          <w:rStyle w:val="Hyperlink"/>
          <w:rFonts w:ascii="Times New Roman" w:hAnsi="Times New Roman" w:cs="Times New Roman"/>
          <w:color w:val="000000" w:themeColor="text1"/>
          <w:sz w:val="24"/>
          <w:szCs w:val="24"/>
          <w:u w:val="none"/>
        </w:rPr>
        <w:t>(</w:t>
      </w:r>
      <w:r w:rsidR="00EB516A" w:rsidRPr="00844F92">
        <w:rPr>
          <w:rStyle w:val="Hyperlink"/>
          <w:rFonts w:ascii="Times New Roman" w:hAnsi="Times New Roman" w:cs="Times New Roman"/>
          <w:color w:val="000000" w:themeColor="text1"/>
          <w:sz w:val="24"/>
          <w:szCs w:val="24"/>
          <w:u w:val="none"/>
        </w:rPr>
        <w:t>PNAD</w:t>
      </w:r>
      <w:r w:rsidR="000E47F0" w:rsidRPr="00844F92">
        <w:rPr>
          <w:rStyle w:val="Hyperlink"/>
          <w:rFonts w:ascii="Times New Roman" w:hAnsi="Times New Roman" w:cs="Times New Roman"/>
          <w:color w:val="000000" w:themeColor="text1"/>
          <w:sz w:val="24"/>
          <w:szCs w:val="24"/>
          <w:u w:val="none"/>
        </w:rPr>
        <w:t>)</w:t>
      </w:r>
      <w:r w:rsidR="00EB516A" w:rsidRPr="00844F92">
        <w:rPr>
          <w:rStyle w:val="Hyperlink"/>
          <w:rFonts w:ascii="Times New Roman" w:hAnsi="Times New Roman" w:cs="Times New Roman"/>
          <w:color w:val="000000" w:themeColor="text1"/>
          <w:sz w:val="24"/>
          <w:szCs w:val="24"/>
          <w:u w:val="none"/>
        </w:rPr>
        <w:t>.</w:t>
      </w:r>
      <w:r w:rsidRPr="00844F92">
        <w:rPr>
          <w:rStyle w:val="Hyperlink"/>
          <w:rFonts w:ascii="Times New Roman" w:hAnsi="Times New Roman" w:cs="Times New Roman"/>
          <w:color w:val="000000" w:themeColor="text1"/>
          <w:sz w:val="24"/>
          <w:szCs w:val="24"/>
          <w:u w:val="none"/>
        </w:rPr>
        <w:t xml:space="preserve"> A variável população foi obtida a partir de dad</w:t>
      </w:r>
      <w:r w:rsidR="001B2020" w:rsidRPr="00844F92">
        <w:rPr>
          <w:rStyle w:val="Hyperlink"/>
          <w:rFonts w:ascii="Times New Roman" w:hAnsi="Times New Roman" w:cs="Times New Roman"/>
          <w:color w:val="000000" w:themeColor="text1"/>
          <w:sz w:val="24"/>
          <w:szCs w:val="24"/>
          <w:u w:val="none"/>
        </w:rPr>
        <w:t xml:space="preserve">os do IBGE das contas regionais, em parceria com outros órgãos </w:t>
      </w:r>
      <w:r w:rsidR="002D2722" w:rsidRPr="00844F92">
        <w:rPr>
          <w:rStyle w:val="Hyperlink"/>
          <w:rFonts w:ascii="Times New Roman" w:hAnsi="Times New Roman" w:cs="Times New Roman"/>
          <w:color w:val="000000" w:themeColor="text1"/>
          <w:sz w:val="24"/>
          <w:szCs w:val="24"/>
          <w:u w:val="none"/>
        </w:rPr>
        <w:t>estaduais de estatística, secretarias estaduais de governo e Superintendência da Zona Franca de Manaus (SUFRAMA)</w:t>
      </w:r>
      <w:r w:rsidR="0071621F" w:rsidRPr="00844F92">
        <w:rPr>
          <w:rStyle w:val="Hyperlink"/>
          <w:rFonts w:ascii="Times New Roman" w:hAnsi="Times New Roman" w:cs="Times New Roman"/>
          <w:color w:val="000000" w:themeColor="text1"/>
          <w:sz w:val="24"/>
          <w:szCs w:val="24"/>
          <w:u w:val="none"/>
        </w:rPr>
        <w:t>. Para população</w:t>
      </w:r>
      <w:r w:rsidR="00844F92" w:rsidRPr="00844F92">
        <w:rPr>
          <w:rStyle w:val="Hyperlink"/>
          <w:rFonts w:ascii="Times New Roman" w:hAnsi="Times New Roman" w:cs="Times New Roman"/>
          <w:color w:val="000000" w:themeColor="text1"/>
          <w:sz w:val="24"/>
          <w:szCs w:val="24"/>
          <w:u w:val="none"/>
        </w:rPr>
        <w:t xml:space="preserve"> </w:t>
      </w:r>
      <w:r w:rsidR="0071621F" w:rsidRPr="00844F92">
        <w:rPr>
          <w:rStyle w:val="Hyperlink"/>
          <w:rFonts w:ascii="Times New Roman" w:hAnsi="Times New Roman" w:cs="Times New Roman"/>
          <w:color w:val="000000" w:themeColor="text1"/>
          <w:sz w:val="24"/>
          <w:szCs w:val="24"/>
          <w:u w:val="none"/>
        </w:rPr>
        <w:t>foram utilizados dados do Atlas do Desenvolvimento Humano</w:t>
      </w:r>
      <w:r w:rsidR="003E4834" w:rsidRPr="00844F92">
        <w:rPr>
          <w:rStyle w:val="Hyperlink"/>
          <w:rFonts w:ascii="Times New Roman" w:hAnsi="Times New Roman" w:cs="Times New Roman"/>
          <w:color w:val="000000" w:themeColor="text1"/>
          <w:sz w:val="24"/>
          <w:szCs w:val="24"/>
          <w:u w:val="none"/>
        </w:rPr>
        <w:t>. Para os dados de população economicamente ativa foram utilizados dados da base RAIZ e CAGED</w:t>
      </w:r>
      <w:r w:rsidR="001E5F60" w:rsidRPr="00844F92">
        <w:rPr>
          <w:rStyle w:val="Hyperlink"/>
          <w:rFonts w:ascii="Times New Roman" w:hAnsi="Times New Roman" w:cs="Times New Roman"/>
          <w:color w:val="000000" w:themeColor="text1"/>
          <w:sz w:val="24"/>
          <w:szCs w:val="24"/>
          <w:u w:val="none"/>
        </w:rPr>
        <w:t xml:space="preserve"> para os anos de 2002-2012</w:t>
      </w:r>
      <w:r w:rsidR="003E4834" w:rsidRPr="00844F92">
        <w:rPr>
          <w:rStyle w:val="Hyperlink"/>
          <w:rFonts w:ascii="Times New Roman" w:hAnsi="Times New Roman" w:cs="Times New Roman"/>
          <w:color w:val="000000" w:themeColor="text1"/>
          <w:sz w:val="24"/>
          <w:szCs w:val="24"/>
          <w:u w:val="none"/>
        </w:rPr>
        <w:t>.</w:t>
      </w:r>
    </w:p>
    <w:p w:rsidR="005062E1" w:rsidRPr="00A76341" w:rsidRDefault="00802004" w:rsidP="00A76341">
      <w:pPr>
        <w:spacing w:line="240" w:lineRule="auto"/>
        <w:jc w:val="both"/>
        <w:rPr>
          <w:rFonts w:ascii="Times New Roman" w:hAnsi="Times New Roman" w:cs="Times New Roman"/>
          <w:b/>
          <w:color w:val="000000" w:themeColor="text1"/>
          <w:sz w:val="24"/>
          <w:szCs w:val="24"/>
        </w:rPr>
      </w:pPr>
      <w:r>
        <w:rPr>
          <w:rStyle w:val="Hyperlink"/>
          <w:rFonts w:ascii="Times New Roman" w:hAnsi="Times New Roman" w:cs="Times New Roman"/>
          <w:b/>
          <w:color w:val="000000" w:themeColor="text1"/>
          <w:sz w:val="24"/>
          <w:szCs w:val="24"/>
          <w:u w:val="none"/>
        </w:rPr>
        <w:t>4</w:t>
      </w:r>
      <w:r w:rsidR="001D3B08" w:rsidRPr="001D3B08">
        <w:rPr>
          <w:rStyle w:val="Hyperlink"/>
          <w:rFonts w:ascii="Times New Roman" w:hAnsi="Times New Roman" w:cs="Times New Roman"/>
          <w:b/>
          <w:color w:val="000000" w:themeColor="text1"/>
          <w:sz w:val="24"/>
          <w:szCs w:val="24"/>
          <w:u w:val="none"/>
        </w:rPr>
        <w:t>.2 M</w:t>
      </w:r>
      <w:r w:rsidR="00D30D76" w:rsidRPr="001D3B08">
        <w:rPr>
          <w:rStyle w:val="Hyperlink"/>
          <w:rFonts w:ascii="Times New Roman" w:hAnsi="Times New Roman" w:cs="Times New Roman"/>
          <w:b/>
          <w:color w:val="000000" w:themeColor="text1"/>
          <w:sz w:val="24"/>
          <w:szCs w:val="24"/>
          <w:u w:val="none"/>
        </w:rPr>
        <w:t>ETODOLOGIA</w:t>
      </w:r>
    </w:p>
    <w:p w:rsidR="001D3B08" w:rsidRDefault="001D3B08" w:rsidP="000E5F22">
      <w:pPr>
        <w:spacing w:line="240" w:lineRule="auto"/>
        <w:ind w:firstLine="709"/>
        <w:jc w:val="both"/>
        <w:rPr>
          <w:rFonts w:ascii="Times New Roman" w:hAnsi="Times New Roman" w:cs="Times New Roman"/>
          <w:sz w:val="24"/>
          <w:szCs w:val="24"/>
        </w:rPr>
      </w:pPr>
      <w:r w:rsidRPr="001D3B08">
        <w:rPr>
          <w:rFonts w:ascii="Times New Roman" w:hAnsi="Times New Roman" w:cs="Times New Roman"/>
          <w:sz w:val="24"/>
          <w:szCs w:val="24"/>
        </w:rPr>
        <w:t xml:space="preserve">O processo de decomposição utilizado no trabalho consistiu na adaptação da metodologia </w:t>
      </w:r>
      <w:r w:rsidRPr="00E9242E">
        <w:rPr>
          <w:rFonts w:ascii="Times New Roman" w:hAnsi="Times New Roman" w:cs="Times New Roman"/>
          <w:sz w:val="24"/>
          <w:szCs w:val="24"/>
        </w:rPr>
        <w:t>de Akita (200</w:t>
      </w:r>
      <w:r w:rsidR="00E9242E" w:rsidRPr="00E9242E">
        <w:rPr>
          <w:rFonts w:ascii="Times New Roman" w:hAnsi="Times New Roman" w:cs="Times New Roman"/>
          <w:sz w:val="24"/>
          <w:szCs w:val="24"/>
        </w:rPr>
        <w:t>0</w:t>
      </w:r>
      <w:r w:rsidRPr="00E9242E">
        <w:rPr>
          <w:rFonts w:ascii="Times New Roman" w:hAnsi="Times New Roman" w:cs="Times New Roman"/>
          <w:sz w:val="24"/>
          <w:szCs w:val="24"/>
        </w:rPr>
        <w:t>) desenvolvida por Araújo,</w:t>
      </w:r>
      <w:r w:rsidR="00E9242E">
        <w:rPr>
          <w:rFonts w:ascii="Times New Roman" w:hAnsi="Times New Roman" w:cs="Times New Roman"/>
          <w:sz w:val="24"/>
          <w:szCs w:val="24"/>
        </w:rPr>
        <w:t xml:space="preserve"> Salvato e Souza (2007),</w:t>
      </w:r>
      <w:r w:rsidRPr="001D3B08">
        <w:rPr>
          <w:rFonts w:ascii="Times New Roman" w:hAnsi="Times New Roman" w:cs="Times New Roman"/>
          <w:sz w:val="24"/>
          <w:szCs w:val="24"/>
        </w:rPr>
        <w:t xml:space="preserve"> onde a decomposição do índice Theil – T foi feita para cinco níveis, mas neste trabalho a decomposição será feita para dois </w:t>
      </w:r>
      <w:r w:rsidR="00A02380">
        <w:rPr>
          <w:rFonts w:ascii="Times New Roman" w:hAnsi="Times New Roman" w:cs="Times New Roman"/>
          <w:sz w:val="24"/>
          <w:szCs w:val="24"/>
        </w:rPr>
        <w:t>estágios</w:t>
      </w:r>
      <w:r w:rsidRPr="001D3B08">
        <w:rPr>
          <w:rFonts w:ascii="Times New Roman" w:hAnsi="Times New Roman" w:cs="Times New Roman"/>
          <w:sz w:val="24"/>
          <w:szCs w:val="24"/>
        </w:rPr>
        <w:t>. O índice de Theil – T pode ser calculado a partir da seguinte equação:</w:t>
      </w:r>
    </w:p>
    <w:p w:rsidR="001D0448" w:rsidRDefault="009C1433" w:rsidP="000E5F22">
      <w:pPr>
        <w:spacing w:before="240" w:line="240" w:lineRule="auto"/>
        <w:jc w:val="center"/>
        <w:rPr>
          <w:rFonts w:ascii="Times New Roman" w:hAnsi="Times New Roman" w:cs="Times New Roman"/>
        </w:rPr>
      </w:pPr>
      <m:oMath>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P</m:t>
            </m:r>
          </m:sub>
        </m:sSub>
        <m:r>
          <w:rPr>
            <w:rFonts w:ascii="Cambria Math" w:hAnsi="Times New Roman" w:cs="Times New Roman"/>
          </w:rPr>
          <m:t>=</m:t>
        </m:r>
        <m:nary>
          <m:naryPr>
            <m:chr m:val="∑"/>
            <m:limLoc m:val="undOvr"/>
            <m:supHide m:val="1"/>
            <m:ctrlPr>
              <w:rPr>
                <w:rFonts w:ascii="Cambria Math" w:hAnsi="Times New Roman" w:cs="Times New Roman"/>
                <w:i/>
              </w:rPr>
            </m:ctrlPr>
          </m:naryPr>
          <m:sub>
            <m:r>
              <w:rPr>
                <w:rFonts w:ascii="Cambria Math" w:hAnsi="Cambria Math" w:cs="Times New Roman"/>
              </w:rPr>
              <m:t>i</m:t>
            </m:r>
          </m:sub>
          <m:sup/>
          <m:e>
            <m:nary>
              <m:naryPr>
                <m:chr m:val="∑"/>
                <m:limLoc m:val="undOvr"/>
                <m:supHide m:val="1"/>
                <m:ctrlPr>
                  <w:rPr>
                    <w:rFonts w:ascii="Cambria Math" w:hAnsi="Times New Roman" w:cs="Times New Roman"/>
                    <w:i/>
                  </w:rPr>
                </m:ctrlPr>
              </m:naryPr>
              <m:sub>
                <m:r>
                  <w:rPr>
                    <w:rFonts w:ascii="Cambria Math" w:hAnsi="Cambria Math" w:cs="Times New Roman"/>
                  </w:rPr>
                  <m:t>j</m:t>
                </m:r>
              </m:sub>
              <m:sup/>
              <m:e>
                <m:d>
                  <m:dPr>
                    <m:ctrlPr>
                      <w:rPr>
                        <w:rFonts w:ascii="Cambria Math" w:hAnsi="Times New Roman" w:cs="Times New Roman"/>
                        <w:i/>
                      </w:rPr>
                    </m:ctrlPr>
                  </m:d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ij</m:t>
                            </m:r>
                          </m:sub>
                        </m:sSub>
                      </m:num>
                      <m:den>
                        <m:r>
                          <w:rPr>
                            <w:rFonts w:ascii="Cambria Math" w:hAnsi="Cambria Math" w:cs="Times New Roman"/>
                          </w:rPr>
                          <m:t>Y</m:t>
                        </m:r>
                      </m:den>
                    </m:f>
                  </m:e>
                </m:d>
                <m:r>
                  <w:rPr>
                    <w:rFonts w:ascii="Cambria Math" w:hAnsi="Cambria Math" w:cs="Times New Roman"/>
                  </w:rPr>
                  <m:t>log</m:t>
                </m:r>
                <m:d>
                  <m:dPr>
                    <m:ctrlPr>
                      <w:rPr>
                        <w:rFonts w:ascii="Cambria Math" w:hAnsi="Times New Roman" w:cs="Times New Roman"/>
                        <w:i/>
                      </w:rPr>
                    </m:ctrlPr>
                  </m:dPr>
                  <m:e>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Y</m:t>
                            </m:r>
                          </m:e>
                          <m:sub>
                            <m:r>
                              <w:rPr>
                                <w:rFonts w:ascii="Cambria Math" w:hAnsi="Cambria Math" w:cs="Times New Roman"/>
                              </w:rPr>
                              <m:t>il</m:t>
                            </m:r>
                            <m:r>
                              <w:rPr>
                                <w:rFonts w:ascii="Cambria Math" w:hAnsi="Times New Roman" w:cs="Times New Roman"/>
                              </w:rPr>
                              <m:t>/</m:t>
                            </m:r>
                          </m:sub>
                        </m:sSub>
                        <m:r>
                          <w:rPr>
                            <w:rFonts w:ascii="Cambria Math" w:hAnsi="Cambria Math" w:cs="Times New Roman"/>
                          </w:rPr>
                          <m:t>Y</m:t>
                        </m:r>
                      </m:num>
                      <m:den>
                        <m:f>
                          <m:fPr>
                            <m:type m:val="lin"/>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N</m:t>
                                </m:r>
                              </m:e>
                              <m:sub>
                                <m:r>
                                  <w:rPr>
                                    <w:rFonts w:ascii="Cambria Math" w:hAnsi="Cambria Math" w:cs="Times New Roman"/>
                                  </w:rPr>
                                  <m:t>ij</m:t>
                                </m:r>
                              </m:sub>
                            </m:sSub>
                          </m:num>
                          <m:den>
                            <m:r>
                              <w:rPr>
                                <w:rFonts w:ascii="Cambria Math" w:hAnsi="Cambria Math" w:cs="Times New Roman"/>
                              </w:rPr>
                              <m:t>N</m:t>
                            </m:r>
                          </m:den>
                        </m:f>
                      </m:den>
                    </m:f>
                  </m:e>
                </m:d>
              </m:e>
            </m:nary>
          </m:e>
        </m:nary>
      </m:oMath>
      <w:r w:rsidR="001D0448" w:rsidRPr="00A63D07">
        <w:rPr>
          <w:rFonts w:ascii="Times New Roman" w:hAnsi="Times New Roman" w:cs="Times New Roman"/>
        </w:rPr>
        <w:t xml:space="preserve">                                                        </w:t>
      </w:r>
      <w:r w:rsidR="005062E1">
        <w:rPr>
          <w:rFonts w:ascii="Times New Roman" w:hAnsi="Times New Roman" w:cs="Times New Roman"/>
        </w:rPr>
        <w:t xml:space="preserve">                                             </w:t>
      </w:r>
      <w:r w:rsidR="001D0448" w:rsidRPr="00A63D07">
        <w:rPr>
          <w:rFonts w:ascii="Times New Roman" w:hAnsi="Times New Roman" w:cs="Times New Roman"/>
        </w:rPr>
        <w:t xml:space="preserve">             (</w:t>
      </w:r>
      <w:r w:rsidR="00A63D07" w:rsidRPr="00A63D07">
        <w:rPr>
          <w:rFonts w:ascii="Times New Roman" w:hAnsi="Times New Roman" w:cs="Times New Roman"/>
        </w:rPr>
        <w:t>1</w:t>
      </w:r>
      <w:r w:rsidR="001D0448" w:rsidRPr="00A63D07">
        <w:rPr>
          <w:rFonts w:ascii="Times New Roman" w:hAnsi="Times New Roman" w:cs="Times New Roman"/>
        </w:rPr>
        <w:t>)</w:t>
      </w:r>
    </w:p>
    <w:p w:rsidR="00A63D07" w:rsidRDefault="00A63D07" w:rsidP="000E5F22">
      <w:pPr>
        <w:spacing w:line="240" w:lineRule="auto"/>
        <w:jc w:val="both"/>
        <w:rPr>
          <w:rStyle w:val="Hyperlink"/>
          <w:rFonts w:ascii="Times New Roman" w:hAnsi="Times New Roman" w:cs="Times New Roman"/>
          <w:color w:val="000000" w:themeColor="text1"/>
          <w:sz w:val="24"/>
          <w:szCs w:val="24"/>
          <w:u w:val="none"/>
        </w:rPr>
      </w:pPr>
      <w:r w:rsidRPr="00A63D07">
        <w:rPr>
          <w:rStyle w:val="Hyperlink"/>
          <w:rFonts w:ascii="Times New Roman" w:hAnsi="Times New Roman" w:cs="Times New Roman"/>
          <w:color w:val="000000" w:themeColor="text1"/>
          <w:sz w:val="24"/>
          <w:szCs w:val="24"/>
          <w:u w:val="none"/>
        </w:rPr>
        <w:t>Onde: Y</w:t>
      </w:r>
      <w:r w:rsidRPr="00A63D07">
        <w:rPr>
          <w:rStyle w:val="Hyperlink"/>
          <w:rFonts w:ascii="Times New Roman" w:hAnsi="Times New Roman" w:cs="Times New Roman"/>
          <w:color w:val="000000" w:themeColor="text1"/>
          <w:sz w:val="24"/>
          <w:szCs w:val="24"/>
          <w:u w:val="none"/>
          <w:vertAlign w:val="subscript"/>
        </w:rPr>
        <w:t>ij</w:t>
      </w:r>
      <w:r w:rsidRPr="00A63D07">
        <w:rPr>
          <w:rStyle w:val="Hyperlink"/>
          <w:rFonts w:ascii="Times New Roman" w:hAnsi="Times New Roman" w:cs="Times New Roman"/>
          <w:color w:val="000000" w:themeColor="text1"/>
          <w:sz w:val="24"/>
          <w:szCs w:val="24"/>
          <w:u w:val="none"/>
        </w:rPr>
        <w:t>- PIB do município i da mesorregião j; Y – PIB agregado de Pernambuco; N</w:t>
      </w:r>
      <w:r w:rsidRPr="00A63D07">
        <w:rPr>
          <w:rStyle w:val="Hyperlink"/>
          <w:rFonts w:ascii="Times New Roman" w:hAnsi="Times New Roman" w:cs="Times New Roman"/>
          <w:color w:val="000000" w:themeColor="text1"/>
          <w:sz w:val="24"/>
          <w:szCs w:val="24"/>
          <w:u w:val="none"/>
          <w:vertAlign w:val="subscript"/>
        </w:rPr>
        <w:t>ij</w:t>
      </w:r>
      <w:r w:rsidRPr="00A63D07">
        <w:rPr>
          <w:rStyle w:val="Hyperlink"/>
          <w:rFonts w:ascii="Times New Roman" w:hAnsi="Times New Roman" w:cs="Times New Roman"/>
          <w:color w:val="000000" w:themeColor="text1"/>
          <w:sz w:val="24"/>
          <w:szCs w:val="24"/>
          <w:u w:val="none"/>
        </w:rPr>
        <w:t xml:space="preserve"> – População do município i da mesorregião j; N – População agregada de Pernambuco.</w:t>
      </w:r>
    </w:p>
    <w:p w:rsidR="005062E1" w:rsidRDefault="005062E1" w:rsidP="000E5F22">
      <w:pPr>
        <w:spacing w:line="240" w:lineRule="auto"/>
        <w:jc w:val="both"/>
        <w:rPr>
          <w:rStyle w:val="Hyperlink"/>
          <w:rFonts w:ascii="Times New Roman" w:hAnsi="Times New Roman" w:cs="Times New Roman"/>
          <w:color w:val="000000" w:themeColor="text1"/>
          <w:sz w:val="24"/>
          <w:szCs w:val="24"/>
          <w:u w:val="none"/>
        </w:rPr>
      </w:pPr>
    </w:p>
    <w:p w:rsidR="004F789C" w:rsidRPr="00A76341" w:rsidRDefault="00D30D76" w:rsidP="00A76341">
      <w:pPr>
        <w:pStyle w:val="PargrafodaLista"/>
        <w:numPr>
          <w:ilvl w:val="0"/>
          <w:numId w:val="1"/>
        </w:numPr>
        <w:spacing w:line="240" w:lineRule="auto"/>
        <w:ind w:left="0" w:firstLine="0"/>
        <w:jc w:val="both"/>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D</w:t>
      </w:r>
      <w:r w:rsidRPr="0049084A">
        <w:rPr>
          <w:rStyle w:val="Hyperlink"/>
          <w:rFonts w:ascii="Times New Roman" w:hAnsi="Times New Roman" w:cs="Times New Roman"/>
          <w:b/>
          <w:color w:val="000000" w:themeColor="text1"/>
          <w:sz w:val="24"/>
          <w:szCs w:val="24"/>
          <w:u w:val="none"/>
        </w:rPr>
        <w:t xml:space="preserve">ECOMPOSIÇÃO EM </w:t>
      </w:r>
      <w:r>
        <w:rPr>
          <w:rStyle w:val="Hyperlink"/>
          <w:rFonts w:ascii="Times New Roman" w:hAnsi="Times New Roman" w:cs="Times New Roman"/>
          <w:b/>
          <w:color w:val="000000" w:themeColor="text1"/>
          <w:sz w:val="24"/>
          <w:szCs w:val="24"/>
          <w:u w:val="none"/>
        </w:rPr>
        <w:t>U</w:t>
      </w:r>
      <w:r w:rsidRPr="0049084A">
        <w:rPr>
          <w:rStyle w:val="Hyperlink"/>
          <w:rFonts w:ascii="Times New Roman" w:hAnsi="Times New Roman" w:cs="Times New Roman"/>
          <w:b/>
          <w:color w:val="000000" w:themeColor="text1"/>
          <w:sz w:val="24"/>
          <w:szCs w:val="24"/>
          <w:u w:val="none"/>
        </w:rPr>
        <w:t xml:space="preserve">M </w:t>
      </w:r>
      <w:r>
        <w:rPr>
          <w:rStyle w:val="Hyperlink"/>
          <w:rFonts w:ascii="Times New Roman" w:hAnsi="Times New Roman" w:cs="Times New Roman"/>
          <w:b/>
          <w:color w:val="000000" w:themeColor="text1"/>
          <w:sz w:val="24"/>
          <w:szCs w:val="24"/>
          <w:u w:val="none"/>
        </w:rPr>
        <w:t>NÍ</w:t>
      </w:r>
      <w:r w:rsidRPr="0049084A">
        <w:rPr>
          <w:rStyle w:val="Hyperlink"/>
          <w:rFonts w:ascii="Times New Roman" w:hAnsi="Times New Roman" w:cs="Times New Roman"/>
          <w:b/>
          <w:color w:val="000000" w:themeColor="text1"/>
          <w:sz w:val="24"/>
          <w:szCs w:val="24"/>
          <w:u w:val="none"/>
        </w:rPr>
        <w:t xml:space="preserve">VEL </w:t>
      </w:r>
    </w:p>
    <w:p w:rsidR="004F789C" w:rsidRDefault="004F789C" w:rsidP="000E5F22">
      <w:pPr>
        <w:spacing w:line="240" w:lineRule="auto"/>
        <w:rPr>
          <w:rStyle w:val="Hyperlink"/>
          <w:rFonts w:ascii="Times New Roman" w:hAnsi="Times New Roman" w:cs="Times New Roman"/>
          <w:color w:val="000000" w:themeColor="text1"/>
          <w:sz w:val="24"/>
          <w:szCs w:val="24"/>
          <w:u w:val="none"/>
        </w:rPr>
      </w:pPr>
      <w:r w:rsidRPr="0049084A">
        <w:rPr>
          <w:rStyle w:val="Hyperlink"/>
          <w:rFonts w:ascii="Times New Roman" w:hAnsi="Times New Roman" w:cs="Times New Roman"/>
          <w:color w:val="000000" w:themeColor="text1"/>
          <w:sz w:val="24"/>
          <w:szCs w:val="24"/>
          <w:u w:val="none"/>
        </w:rPr>
        <w:t xml:space="preserve">A decomposição em </w:t>
      </w:r>
      <w:r w:rsidR="007D70EC">
        <w:rPr>
          <w:rStyle w:val="Hyperlink"/>
          <w:rFonts w:ascii="Times New Roman" w:hAnsi="Times New Roman" w:cs="Times New Roman"/>
          <w:color w:val="000000" w:themeColor="text1"/>
          <w:sz w:val="24"/>
          <w:szCs w:val="24"/>
          <w:u w:val="none"/>
        </w:rPr>
        <w:t>dois componentes</w:t>
      </w:r>
      <w:r w:rsidRPr="0049084A">
        <w:rPr>
          <w:rStyle w:val="Hyperlink"/>
          <w:rFonts w:ascii="Times New Roman" w:hAnsi="Times New Roman" w:cs="Times New Roman"/>
          <w:color w:val="000000" w:themeColor="text1"/>
          <w:sz w:val="24"/>
          <w:szCs w:val="24"/>
          <w:u w:val="none"/>
        </w:rPr>
        <w:t xml:space="preserve"> </w:t>
      </w:r>
      <w:r w:rsidR="00A02380">
        <w:rPr>
          <w:rStyle w:val="Hyperlink"/>
          <w:rFonts w:ascii="Times New Roman" w:hAnsi="Times New Roman" w:cs="Times New Roman"/>
          <w:color w:val="000000" w:themeColor="text1"/>
          <w:sz w:val="24"/>
          <w:szCs w:val="24"/>
          <w:u w:val="none"/>
        </w:rPr>
        <w:t>é</w:t>
      </w:r>
      <w:r w:rsidRPr="0049084A">
        <w:rPr>
          <w:rStyle w:val="Hyperlink"/>
          <w:rFonts w:ascii="Times New Roman" w:hAnsi="Times New Roman" w:cs="Times New Roman"/>
          <w:color w:val="000000" w:themeColor="text1"/>
          <w:sz w:val="24"/>
          <w:szCs w:val="24"/>
          <w:u w:val="none"/>
        </w:rPr>
        <w:t xml:space="preserve"> obtid</w:t>
      </w:r>
      <w:r w:rsidR="00A02380">
        <w:rPr>
          <w:rStyle w:val="Hyperlink"/>
          <w:rFonts w:ascii="Times New Roman" w:hAnsi="Times New Roman" w:cs="Times New Roman"/>
          <w:color w:val="000000" w:themeColor="text1"/>
          <w:sz w:val="24"/>
          <w:szCs w:val="24"/>
          <w:u w:val="none"/>
        </w:rPr>
        <w:t>a</w:t>
      </w:r>
      <w:r w:rsidRPr="0049084A">
        <w:rPr>
          <w:rStyle w:val="Hyperlink"/>
          <w:rFonts w:ascii="Times New Roman" w:hAnsi="Times New Roman" w:cs="Times New Roman"/>
          <w:color w:val="000000" w:themeColor="text1"/>
          <w:sz w:val="24"/>
          <w:szCs w:val="24"/>
          <w:u w:val="none"/>
        </w:rPr>
        <w:t xml:space="preserve"> a partir da equação (2), que mostra a desigualdade de renda entre os indivíduos da região j.</w:t>
      </w:r>
    </w:p>
    <w:p w:rsidR="004F789C" w:rsidRPr="004C3F04" w:rsidRDefault="009C1433" w:rsidP="000E5F22">
      <w:pPr>
        <w:spacing w:before="240" w:line="240" w:lineRule="auto"/>
        <w:jc w:val="both"/>
        <w:rPr>
          <w:rFonts w:ascii="Times New Roman" w:eastAsiaTheme="minorEastAsia"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m:t>
            </m:r>
          </m:sub>
        </m:sSub>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hAnsi="Cambria Math" w:cs="Times New Roman"/>
                        <w:sz w:val="24"/>
                        <w:szCs w:val="24"/>
                      </w:rPr>
                      <m:t>Y</m:t>
                    </m:r>
                  </m:den>
                </m:f>
              </m:e>
            </m:d>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Pi</m:t>
                </m:r>
              </m:sub>
            </m:sSub>
            <m:r>
              <w:rPr>
                <w:rFonts w:ascii="Cambria Math" w:hAnsi="Times New Roman" w:cs="Times New Roman"/>
                <w:sz w:val="24"/>
                <w:szCs w:val="24"/>
              </w:rPr>
              <m:t xml:space="preserve">+ </m:t>
            </m:r>
            <m:nary>
              <m:naryPr>
                <m:chr m:val="∑"/>
                <m:limLoc m:val="undOvr"/>
                <m:supHide m:val="1"/>
                <m:ctrlPr>
                  <w:rPr>
                    <w:rFonts w:ascii="Cambria Math" w:hAnsi="Times New Roman" w:cs="Times New Roman"/>
                    <w:i/>
                    <w:sz w:val="24"/>
                    <w:szCs w:val="24"/>
                  </w:rPr>
                </m:ctrlPr>
              </m:naryPr>
              <m:sub>
                <m:r>
                  <w:rPr>
                    <w:rFonts w:ascii="Cambria Math" w:hAnsi="Times New Roman" w:cs="Times New Roman"/>
                    <w:sz w:val="24"/>
                    <w:szCs w:val="24"/>
                  </w:rPr>
                  <m:t>i</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hAnsi="Cambria Math" w:cs="Times New Roman"/>
                            <w:sz w:val="24"/>
                            <w:szCs w:val="24"/>
                          </w:rPr>
                          <m:t>Y</m:t>
                        </m:r>
                      </m:den>
                    </m:f>
                  </m:e>
                </m:d>
                <m:r>
                  <w:rPr>
                    <w:rFonts w:ascii="Cambria Math" w:hAnsi="Cambria Math" w:cs="Times New Roman"/>
                    <w:sz w:val="24"/>
                    <w:szCs w:val="24"/>
                  </w:rPr>
                  <m:t>log</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r>
                              <w:rPr>
                                <w:rFonts w:ascii="Cambria Math" w:hAnsi="Times New Roman" w:cs="Times New Roman"/>
                                <w:sz w:val="24"/>
                                <w:szCs w:val="24"/>
                              </w:rPr>
                              <m:t>/</m:t>
                            </m:r>
                          </m:sub>
                        </m:sSub>
                        <m:r>
                          <w:rPr>
                            <w:rFonts w:ascii="Cambria Math" w:hAnsi="Cambria Math" w:cs="Times New Roman"/>
                            <w:sz w:val="24"/>
                            <w:szCs w:val="24"/>
                          </w:rPr>
                          <m:t>Y</m:t>
                        </m:r>
                      </m:num>
                      <m:den>
                        <m:f>
                          <m:fPr>
                            <m:type m:val="lin"/>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m:t>
                                </m:r>
                              </m:sub>
                            </m:sSub>
                          </m:num>
                          <m:den>
                            <m:r>
                              <w:rPr>
                                <w:rFonts w:ascii="Cambria Math" w:hAnsi="Cambria Math" w:cs="Times New Roman"/>
                                <w:sz w:val="24"/>
                                <w:szCs w:val="24"/>
                              </w:rPr>
                              <m:t>N</m:t>
                            </m:r>
                          </m:den>
                        </m:f>
                      </m:den>
                    </m:f>
                  </m:e>
                </m:d>
              </m:e>
            </m:nary>
          </m:e>
        </m:nary>
      </m:oMath>
      <w:r w:rsidR="004C3F04">
        <w:rPr>
          <w:rFonts w:ascii="Times New Roman" w:eastAsiaTheme="minorEastAsia" w:hAnsi="Times New Roman" w:cs="Times New Roman"/>
          <w:sz w:val="24"/>
          <w:szCs w:val="24"/>
        </w:rPr>
        <w:t xml:space="preserve">          </w:t>
      </w:r>
      <w:r w:rsidR="005062E1">
        <w:rPr>
          <w:rFonts w:ascii="Times New Roman" w:eastAsiaTheme="minorEastAsia" w:hAnsi="Times New Roman" w:cs="Times New Roman"/>
          <w:sz w:val="24"/>
          <w:szCs w:val="24"/>
        </w:rPr>
        <w:t xml:space="preserve">                                                            </w:t>
      </w:r>
      <w:r w:rsidR="004C3F04">
        <w:rPr>
          <w:rFonts w:ascii="Times New Roman" w:eastAsiaTheme="minorEastAsia" w:hAnsi="Times New Roman" w:cs="Times New Roman"/>
          <w:sz w:val="24"/>
          <w:szCs w:val="24"/>
        </w:rPr>
        <w:t xml:space="preserve">               (2) </w:t>
      </w:r>
    </w:p>
    <w:p w:rsidR="004F789C" w:rsidRPr="004C3F04" w:rsidRDefault="004F789C" w:rsidP="000E5F22">
      <w:pPr>
        <w:spacing w:line="240" w:lineRule="auto"/>
        <w:rPr>
          <w:rStyle w:val="Hyperlink"/>
          <w:rFonts w:ascii="Times New Roman" w:hAnsi="Times New Roman" w:cs="Times New Roman"/>
          <w:color w:val="000000" w:themeColor="text1"/>
          <w:sz w:val="24"/>
          <w:szCs w:val="24"/>
          <w:u w:val="none"/>
        </w:rPr>
      </w:pPr>
      <w:r w:rsidRPr="004C3F04">
        <w:rPr>
          <w:rStyle w:val="Hyperlink"/>
          <w:rFonts w:ascii="Times New Roman" w:hAnsi="Times New Roman" w:cs="Times New Roman"/>
          <w:color w:val="000000" w:themeColor="text1"/>
          <w:sz w:val="24"/>
          <w:szCs w:val="24"/>
          <w:u w:val="none"/>
        </w:rPr>
        <w:t>Onde: T</w:t>
      </w:r>
      <w:r w:rsidRPr="004C3F04">
        <w:rPr>
          <w:rStyle w:val="Hyperlink"/>
          <w:rFonts w:ascii="Times New Roman" w:hAnsi="Times New Roman" w:cs="Times New Roman"/>
          <w:color w:val="000000" w:themeColor="text1"/>
          <w:sz w:val="24"/>
          <w:szCs w:val="24"/>
          <w:u w:val="none"/>
        </w:rPr>
        <w:softHyphen/>
      </w:r>
      <w:r w:rsidRPr="004C3F04">
        <w:rPr>
          <w:rStyle w:val="Hyperlink"/>
          <w:rFonts w:ascii="Times New Roman" w:hAnsi="Times New Roman" w:cs="Times New Roman"/>
          <w:color w:val="000000" w:themeColor="text1"/>
          <w:sz w:val="24"/>
          <w:szCs w:val="24"/>
          <w:u w:val="none"/>
          <w:vertAlign w:val="subscript"/>
        </w:rPr>
        <w:t>pi</w:t>
      </w:r>
      <w:r w:rsidRPr="004C3F04">
        <w:rPr>
          <w:rStyle w:val="Hyperlink"/>
          <w:rFonts w:ascii="Times New Roman" w:hAnsi="Times New Roman" w:cs="Times New Roman"/>
          <w:color w:val="000000" w:themeColor="text1"/>
          <w:sz w:val="24"/>
          <w:szCs w:val="24"/>
          <w:u w:val="none"/>
        </w:rPr>
        <w:t xml:space="preserve"> – e o índice de desigualdade das mesorregiões.</w:t>
      </w:r>
    </w:p>
    <w:p w:rsidR="00447103" w:rsidRPr="004C3F04" w:rsidRDefault="009C1433" w:rsidP="000E5F22">
      <w:pPr>
        <w:spacing w:line="240" w:lineRule="auto"/>
        <w:jc w:val="both"/>
        <w:rPr>
          <w:rStyle w:val="Hyperlink"/>
          <w:rFonts w:ascii="Times New Roman" w:hAnsi="Times New Roman" w:cs="Times New Roman"/>
          <w:color w:val="000000" w:themeColor="text1"/>
          <w:sz w:val="24"/>
          <w:szCs w:val="24"/>
          <w:u w:val="none"/>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m:t>
            </m:r>
          </m:sub>
        </m:sSub>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hAnsi="Cambria Math" w:cs="Times New Roman"/>
                        <w:sz w:val="24"/>
                        <w:szCs w:val="24"/>
                      </w:rPr>
                      <m:t>Y</m:t>
                    </m:r>
                  </m:den>
                </m:f>
              </m:e>
            </m:d>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BR</m:t>
                </m:r>
              </m:sub>
            </m:sSub>
          </m:e>
        </m:nary>
      </m:oMath>
      <w:r w:rsidR="005062E1">
        <w:rPr>
          <w:rFonts w:ascii="Times New Roman" w:eastAsiaTheme="minorEastAsia" w:hAnsi="Times New Roman" w:cs="Times New Roman"/>
          <w:sz w:val="24"/>
          <w:szCs w:val="24"/>
        </w:rPr>
        <w:t xml:space="preserve">                                                                                                             </w:t>
      </w:r>
      <w:r w:rsidR="00447103" w:rsidRPr="004C3F04">
        <w:rPr>
          <w:rFonts w:ascii="Times New Roman" w:eastAsiaTheme="minorEastAsia" w:hAnsi="Times New Roman" w:cs="Times New Roman"/>
          <w:sz w:val="24"/>
          <w:szCs w:val="24"/>
        </w:rPr>
        <w:t>(3</w:t>
      </w:r>
      <w:r w:rsidR="00A54E50" w:rsidRPr="004C3F04">
        <w:rPr>
          <w:rFonts w:ascii="Times New Roman" w:eastAsiaTheme="minorEastAsia" w:hAnsi="Times New Roman" w:cs="Times New Roman"/>
          <w:sz w:val="24"/>
          <w:szCs w:val="24"/>
        </w:rPr>
        <w:t>)</w:t>
      </w:r>
    </w:p>
    <w:p w:rsidR="00447103" w:rsidRPr="004C3F04" w:rsidRDefault="009C1433" w:rsidP="000E5F22">
      <w:pPr>
        <w:spacing w:line="240" w:lineRule="auto"/>
        <w:rPr>
          <w:rStyle w:val="Hyperlink"/>
          <w:rFonts w:ascii="Times New Roman" w:hAnsi="Times New Roman" w:cs="Times New Roman"/>
          <w:color w:val="000000" w:themeColor="text1"/>
          <w:sz w:val="24"/>
          <w:szCs w:val="24"/>
          <w:u w:val="none"/>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P</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Wmes</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Bmes</m:t>
            </m:r>
          </m:sub>
        </m:sSub>
      </m:oMath>
      <w:r w:rsidR="005062E1">
        <w:rPr>
          <w:rFonts w:ascii="Times New Roman" w:eastAsiaTheme="minorEastAsia" w:hAnsi="Times New Roman" w:cs="Times New Roman"/>
          <w:sz w:val="24"/>
          <w:szCs w:val="24"/>
        </w:rPr>
        <w:t xml:space="preserve">                                                                                                                </w:t>
      </w:r>
      <w:r w:rsidR="000B1DA6" w:rsidRPr="004C3F04">
        <w:rPr>
          <w:rFonts w:ascii="Times New Roman" w:eastAsiaTheme="minorEastAsia" w:hAnsi="Times New Roman" w:cs="Times New Roman"/>
          <w:sz w:val="24"/>
          <w:szCs w:val="24"/>
        </w:rPr>
        <w:t>(4)</w:t>
      </w:r>
    </w:p>
    <w:p w:rsidR="00601C46" w:rsidRDefault="004F789C" w:rsidP="000E5F22">
      <w:pPr>
        <w:spacing w:line="240" w:lineRule="auto"/>
        <w:rPr>
          <w:rStyle w:val="Hyperlink"/>
          <w:rFonts w:ascii="Times New Roman" w:hAnsi="Times New Roman" w:cs="Times New Roman"/>
          <w:color w:val="000000" w:themeColor="text1"/>
          <w:sz w:val="24"/>
          <w:szCs w:val="24"/>
          <w:u w:val="none"/>
        </w:rPr>
      </w:pPr>
      <w:r w:rsidRPr="000B1DA6">
        <w:rPr>
          <w:rStyle w:val="Hyperlink"/>
          <w:rFonts w:ascii="Times New Roman" w:hAnsi="Times New Roman" w:cs="Times New Roman"/>
          <w:color w:val="000000" w:themeColor="text1"/>
          <w:sz w:val="24"/>
          <w:szCs w:val="24"/>
          <w:u w:val="none"/>
        </w:rPr>
        <w:t>Onde: T</w:t>
      </w:r>
      <w:r w:rsidR="006C5A7F">
        <w:rPr>
          <w:rStyle w:val="Hyperlink"/>
          <w:rFonts w:ascii="Times New Roman" w:hAnsi="Times New Roman" w:cs="Times New Roman"/>
          <w:color w:val="000000" w:themeColor="text1"/>
          <w:sz w:val="24"/>
          <w:szCs w:val="24"/>
          <w:u w:val="none"/>
          <w:vertAlign w:val="subscript"/>
        </w:rPr>
        <w:t>Wmes</w:t>
      </w:r>
      <w:r w:rsidRPr="000B1DA6">
        <w:rPr>
          <w:rStyle w:val="Hyperlink"/>
          <w:rFonts w:ascii="Times New Roman" w:hAnsi="Times New Roman" w:cs="Times New Roman"/>
          <w:color w:val="000000" w:themeColor="text1"/>
          <w:sz w:val="24"/>
          <w:szCs w:val="24"/>
          <w:u w:val="none"/>
        </w:rPr>
        <w:t xml:space="preserve"> – é a desigualdade dentro das mesorregiões; T</w:t>
      </w:r>
      <w:r w:rsidR="006C5A7F">
        <w:rPr>
          <w:rStyle w:val="Hyperlink"/>
          <w:rFonts w:ascii="Times New Roman" w:hAnsi="Times New Roman" w:cs="Times New Roman"/>
          <w:color w:val="000000" w:themeColor="text1"/>
          <w:sz w:val="24"/>
          <w:szCs w:val="24"/>
          <w:u w:val="none"/>
          <w:vertAlign w:val="subscript"/>
        </w:rPr>
        <w:t>Bmes</w:t>
      </w:r>
      <w:r w:rsidRPr="000B1DA6">
        <w:rPr>
          <w:rStyle w:val="Hyperlink"/>
          <w:rFonts w:ascii="Times New Roman" w:hAnsi="Times New Roman" w:cs="Times New Roman"/>
          <w:color w:val="000000" w:themeColor="text1"/>
          <w:sz w:val="24"/>
          <w:szCs w:val="24"/>
          <w:u w:val="none"/>
        </w:rPr>
        <w:t xml:space="preserve"> – Representa a desigualdade entre as mesorregiões.</w:t>
      </w:r>
    </w:p>
    <w:p w:rsidR="00FA7391" w:rsidRPr="00A76341" w:rsidRDefault="00D30D76" w:rsidP="00A76341">
      <w:pPr>
        <w:pStyle w:val="PargrafodaLista"/>
        <w:numPr>
          <w:ilvl w:val="0"/>
          <w:numId w:val="1"/>
        </w:numPr>
        <w:spacing w:line="240" w:lineRule="auto"/>
        <w:ind w:left="0" w:hanging="12"/>
        <w:jc w:val="both"/>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DECOMPOSIÇÃO EM DOIS NÍ</w:t>
      </w:r>
      <w:r w:rsidRPr="00BF73D3">
        <w:rPr>
          <w:rStyle w:val="Hyperlink"/>
          <w:rFonts w:ascii="Times New Roman" w:hAnsi="Times New Roman" w:cs="Times New Roman"/>
          <w:b/>
          <w:color w:val="000000" w:themeColor="text1"/>
          <w:sz w:val="24"/>
          <w:szCs w:val="24"/>
          <w:u w:val="none"/>
        </w:rPr>
        <w:t>VEIS</w:t>
      </w:r>
    </w:p>
    <w:p w:rsidR="00FA7391" w:rsidRDefault="00A02380" w:rsidP="000E5F22">
      <w:pPr>
        <w:spacing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 decomposição em três </w:t>
      </w:r>
      <w:r w:rsidR="007D70EC">
        <w:rPr>
          <w:rStyle w:val="Hyperlink"/>
          <w:rFonts w:ascii="Times New Roman" w:hAnsi="Times New Roman" w:cs="Times New Roman"/>
          <w:color w:val="000000" w:themeColor="text1"/>
          <w:sz w:val="24"/>
          <w:szCs w:val="24"/>
          <w:u w:val="none"/>
        </w:rPr>
        <w:t>componentes,</w:t>
      </w:r>
      <w:r>
        <w:rPr>
          <w:rStyle w:val="Hyperlink"/>
          <w:rFonts w:ascii="Times New Roman" w:hAnsi="Times New Roman" w:cs="Times New Roman"/>
          <w:color w:val="000000" w:themeColor="text1"/>
          <w:sz w:val="24"/>
          <w:szCs w:val="24"/>
          <w:u w:val="none"/>
        </w:rPr>
        <w:t xml:space="preserve"> </w:t>
      </w:r>
      <w:r w:rsidR="00FA7391" w:rsidRPr="00FA7391">
        <w:rPr>
          <w:rStyle w:val="Hyperlink"/>
          <w:rFonts w:ascii="Times New Roman" w:hAnsi="Times New Roman" w:cs="Times New Roman"/>
          <w:color w:val="000000" w:themeColor="text1"/>
          <w:sz w:val="24"/>
          <w:szCs w:val="24"/>
          <w:u w:val="none"/>
        </w:rPr>
        <w:t xml:space="preserve">parte da equação (5) que representa a desigualdade dos </w:t>
      </w:r>
      <w:r w:rsidR="001C4509" w:rsidRPr="00FA7391">
        <w:rPr>
          <w:rStyle w:val="Hyperlink"/>
          <w:rFonts w:ascii="Times New Roman" w:hAnsi="Times New Roman" w:cs="Times New Roman"/>
          <w:color w:val="000000" w:themeColor="text1"/>
          <w:sz w:val="24"/>
          <w:szCs w:val="24"/>
          <w:u w:val="none"/>
        </w:rPr>
        <w:t>municípios</w:t>
      </w:r>
      <w:r w:rsidR="00FA7391" w:rsidRPr="00FA7391">
        <w:rPr>
          <w:rStyle w:val="Hyperlink"/>
          <w:rFonts w:ascii="Times New Roman" w:hAnsi="Times New Roman" w:cs="Times New Roman"/>
          <w:color w:val="000000" w:themeColor="text1"/>
          <w:sz w:val="24"/>
          <w:szCs w:val="24"/>
          <w:u w:val="none"/>
        </w:rPr>
        <w:t xml:space="preserve"> na microrregião i. </w:t>
      </w:r>
    </w:p>
    <w:p w:rsidR="00A57FF1" w:rsidRPr="003A0FF2" w:rsidRDefault="009C1433" w:rsidP="000E5F22">
      <w:pPr>
        <w:spacing w:line="240" w:lineRule="auto"/>
        <w:rPr>
          <w:rStyle w:val="Hyperlink"/>
          <w:rFonts w:ascii="Times New Roman" w:hAnsi="Times New Roman" w:cs="Times New Roman"/>
          <w:color w:val="000000" w:themeColor="text1"/>
          <w:sz w:val="24"/>
          <w:szCs w:val="24"/>
          <w:u w:val="none"/>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m:t>
            </m:r>
          </m:sub>
        </m:sSub>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nary>
              <m:naryPr>
                <m:chr m:val="∑"/>
                <m:limLoc m:val="undOvr"/>
                <m:supHide m:val="1"/>
                <m:ctrlPr>
                  <w:rPr>
                    <w:rFonts w:ascii="Cambria Math" w:hAnsi="Times New Roman" w:cs="Times New Roman"/>
                    <w:i/>
                    <w:sz w:val="24"/>
                    <w:szCs w:val="24"/>
                  </w:rPr>
                </m:ctrlPr>
              </m:naryPr>
              <m:sub>
                <m:r>
                  <w:rPr>
                    <w:rFonts w:ascii="Cambria Math" w:hAnsi="Times New Roman" w:cs="Times New Roman"/>
                    <w:sz w:val="24"/>
                    <w:szCs w:val="24"/>
                  </w:rPr>
                  <m:t>j</m:t>
                </m:r>
              </m:sub>
              <m:sup/>
              <m:e>
                <m:nary>
                  <m:naryPr>
                    <m:chr m:val="∑"/>
                    <m:limLoc m:val="undOvr"/>
                    <m:supHide m:val="1"/>
                    <m:ctrlPr>
                      <w:rPr>
                        <w:rFonts w:ascii="Cambria Math" w:hAnsi="Times New Roman" w:cs="Times New Roman"/>
                        <w:i/>
                        <w:sz w:val="24"/>
                        <w:szCs w:val="24"/>
                      </w:rPr>
                    </m:ctrlPr>
                  </m:naryPr>
                  <m:sub>
                    <m:r>
                      <w:rPr>
                        <w:rFonts w:ascii="Cambria Math" w:hAnsi="Times New Roman" w:cs="Times New Roman"/>
                        <w:sz w:val="24"/>
                        <w:szCs w:val="24"/>
                      </w:rPr>
                      <m:t>k</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num>
                          <m:den>
                            <m:r>
                              <w:rPr>
                                <w:rFonts w:ascii="Cambria Math" w:hAnsi="Cambria Math" w:cs="Times New Roman"/>
                                <w:sz w:val="24"/>
                                <w:szCs w:val="24"/>
                              </w:rPr>
                              <m:t>Y</m:t>
                            </m:r>
                          </m:den>
                        </m:f>
                      </m:e>
                    </m:d>
                    <m:r>
                      <w:rPr>
                        <w:rFonts w:ascii="Cambria Math" w:hAnsi="Times New Roman" w:cs="Times New Roman"/>
                        <w:sz w:val="24"/>
                        <w:szCs w:val="24"/>
                      </w:rPr>
                      <m:t xml:space="preserve">log </m:t>
                    </m:r>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ijk</m:t>
                                </m:r>
                              </m:sub>
                            </m:sSub>
                            <m:r>
                              <w:rPr>
                                <w:rFonts w:ascii="Cambria Math" w:hAnsi="Times New Roman" w:cs="Times New Roman"/>
                                <w:sz w:val="24"/>
                                <w:szCs w:val="24"/>
                              </w:rPr>
                              <m:t>/Y</m:t>
                            </m:r>
                          </m:num>
                          <m:den>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ijk</m:t>
                                </m:r>
                              </m:sub>
                            </m:sSub>
                            <m:r>
                              <w:rPr>
                                <w:rFonts w:ascii="Cambria Math" w:hAnsi="Times New Roman" w:cs="Times New Roman"/>
                                <w:sz w:val="24"/>
                                <w:szCs w:val="24"/>
                              </w:rPr>
                              <m:t>/</m:t>
                            </m:r>
                            <m:r>
                              <w:rPr>
                                <w:rFonts w:ascii="Cambria Math" w:hAnsi="Cambria Math" w:cs="Times New Roman"/>
                                <w:sz w:val="24"/>
                                <w:szCs w:val="24"/>
                              </w:rPr>
                              <m:t>N</m:t>
                            </m:r>
                          </m:den>
                        </m:f>
                      </m:e>
                    </m:d>
                  </m:e>
                </m:nary>
              </m:e>
            </m:nary>
          </m:e>
        </m:nary>
      </m:oMath>
      <w:r w:rsidR="005062E1">
        <w:rPr>
          <w:rFonts w:ascii="Times New Roman" w:eastAsiaTheme="minorEastAsia" w:hAnsi="Times New Roman" w:cs="Times New Roman"/>
          <w:sz w:val="24"/>
          <w:szCs w:val="24"/>
        </w:rPr>
        <w:t xml:space="preserve">                                                                                            </w:t>
      </w:r>
      <w:r w:rsidR="00A57FF1" w:rsidRPr="003A0FF2">
        <w:rPr>
          <w:rFonts w:ascii="Times New Roman" w:eastAsiaTheme="minorEastAsia" w:hAnsi="Times New Roman" w:cs="Times New Roman"/>
          <w:sz w:val="24"/>
          <w:szCs w:val="24"/>
        </w:rPr>
        <w:t>(5)</w:t>
      </w:r>
    </w:p>
    <w:p w:rsidR="000A49A5" w:rsidRPr="003A0FF2" w:rsidRDefault="009C1433" w:rsidP="000E5F22">
      <w:pPr>
        <w:spacing w:line="240" w:lineRule="auto"/>
        <w:rPr>
          <w:rStyle w:val="Hyperlink"/>
          <w:rFonts w:ascii="Times New Roman" w:hAnsi="Times New Roman" w:cs="Times New Roman"/>
          <w:color w:val="000000" w:themeColor="text1"/>
          <w:sz w:val="24"/>
          <w:szCs w:val="24"/>
          <w:u w:val="none"/>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m:t>
            </m:r>
          </m:sub>
        </m:sSub>
        <m:r>
          <w:rPr>
            <w:rFonts w:ascii="Cambria Math" w:hAnsi="Times New Roman" w:cs="Times New Roman"/>
            <w:sz w:val="24"/>
            <w:szCs w:val="24"/>
          </w:rPr>
          <m:t>=</m:t>
        </m:r>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i</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hAnsi="Cambria Math" w:cs="Times New Roman"/>
                        <w:sz w:val="24"/>
                        <w:szCs w:val="24"/>
                      </w:rPr>
                      <m:t>Y</m:t>
                    </m:r>
                  </m:den>
                </m:f>
              </m:e>
            </m:d>
            <m:d>
              <m:dPr>
                <m:begChr m:val="["/>
                <m:endChr m:val="]"/>
                <m:ctrlPr>
                  <w:rPr>
                    <w:rFonts w:ascii="Cambria Math" w:hAnsi="Times New Roman" w:cs="Times New Roman"/>
                    <w:i/>
                    <w:sz w:val="24"/>
                    <w:szCs w:val="24"/>
                  </w:rPr>
                </m:ctrlPr>
              </m:dPr>
              <m:e>
                <m:nary>
                  <m:naryPr>
                    <m:chr m:val="∑"/>
                    <m:limLoc m:val="undOvr"/>
                    <m:supHide m:val="1"/>
                    <m:ctrlPr>
                      <w:rPr>
                        <w:rFonts w:ascii="Cambria Math" w:hAnsi="Times New Roman" w:cs="Times New Roman"/>
                        <w:i/>
                        <w:sz w:val="24"/>
                        <w:szCs w:val="24"/>
                      </w:rPr>
                    </m:ctrlPr>
                  </m:naryPr>
                  <m:sub>
                    <m:r>
                      <w:rPr>
                        <w:rFonts w:ascii="Cambria Math" w:hAnsi="Cambria Math" w:cs="Times New Roman"/>
                        <w:sz w:val="24"/>
                        <w:szCs w:val="24"/>
                      </w:rPr>
                      <m:t>j</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il</m:t>
                                </m:r>
                              </m:sub>
                            </m:sSub>
                          </m:num>
                          <m:den>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j</m:t>
                                </m:r>
                              </m:sub>
                            </m:sSub>
                          </m:den>
                        </m:f>
                      </m:e>
                    </m:d>
                  </m:e>
                </m:nary>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il</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Wmicro</m:t>
                    </m:r>
                  </m:sub>
                </m:sSub>
              </m:e>
            </m:d>
          </m:e>
        </m:nary>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Bmes</m:t>
            </m:r>
          </m:sub>
        </m:sSub>
      </m:oMath>
      <w:r w:rsidR="005062E1">
        <w:rPr>
          <w:rFonts w:ascii="Times New Roman" w:eastAsiaTheme="minorEastAsia" w:hAnsi="Times New Roman" w:cs="Times New Roman"/>
          <w:sz w:val="24"/>
          <w:szCs w:val="24"/>
        </w:rPr>
        <w:t xml:space="preserve">                                                                           </w:t>
      </w:r>
      <w:r w:rsidR="00B66B91" w:rsidRPr="003A0FF2">
        <w:rPr>
          <w:rFonts w:ascii="Times New Roman" w:eastAsiaTheme="minorEastAsia" w:hAnsi="Times New Roman" w:cs="Times New Roman"/>
          <w:sz w:val="24"/>
          <w:szCs w:val="24"/>
        </w:rPr>
        <w:t>(</w:t>
      </w:r>
      <w:r w:rsidR="00B7063A" w:rsidRPr="003A0FF2">
        <w:rPr>
          <w:rFonts w:ascii="Times New Roman" w:eastAsiaTheme="minorEastAsia" w:hAnsi="Times New Roman" w:cs="Times New Roman"/>
          <w:sz w:val="24"/>
          <w:szCs w:val="24"/>
        </w:rPr>
        <w:t>6</w:t>
      </w:r>
      <w:r w:rsidR="00B66B91" w:rsidRPr="003A0FF2">
        <w:rPr>
          <w:rFonts w:ascii="Times New Roman" w:eastAsiaTheme="minorEastAsia" w:hAnsi="Times New Roman" w:cs="Times New Roman"/>
          <w:sz w:val="24"/>
          <w:szCs w:val="24"/>
        </w:rPr>
        <w:t>)</w:t>
      </w:r>
    </w:p>
    <w:p w:rsidR="00FA7391" w:rsidRPr="003A0FF2" w:rsidRDefault="009C1433" w:rsidP="000E5F22">
      <w:pPr>
        <w:spacing w:line="240" w:lineRule="auto"/>
        <w:rPr>
          <w:rStyle w:val="Hyperlink"/>
          <w:rFonts w:ascii="Times New Roman" w:hAnsi="Times New Roman" w:cs="Times New Roman"/>
          <w:color w:val="000000" w:themeColor="text1"/>
          <w:sz w:val="24"/>
          <w:szCs w:val="24"/>
          <w:u w:val="none"/>
        </w:rPr>
      </w:pP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d</m:t>
            </m:r>
          </m:sub>
        </m:sSub>
        <m:r>
          <w:rPr>
            <w:rFonts w:ascii="Cambria Math" w:hAnsi="Times New Roman" w:cs="Times New Roman"/>
            <w:sz w:val="24"/>
            <w:szCs w:val="24"/>
          </w:rPr>
          <m:t xml:space="preserve">= </m:t>
        </m:r>
        <m:nary>
          <m:naryPr>
            <m:chr m:val="∑"/>
            <m:limLoc m:val="undOvr"/>
            <m:supHide m:val="1"/>
            <m:ctrlPr>
              <w:rPr>
                <w:rFonts w:ascii="Cambria Math" w:hAnsi="Times New Roman" w:cs="Times New Roman"/>
                <w:i/>
                <w:sz w:val="24"/>
                <w:szCs w:val="24"/>
              </w:rPr>
            </m:ctrlPr>
          </m:naryPr>
          <m:sub>
            <m:r>
              <w:rPr>
                <w:rFonts w:ascii="Cambria Math" w:hAnsi="Times New Roman" w:cs="Times New Roman"/>
                <w:sz w:val="24"/>
                <w:szCs w:val="24"/>
              </w:rPr>
              <m:t>i</m:t>
            </m:r>
          </m:sub>
          <m:sup/>
          <m:e>
            <m:nary>
              <m:naryPr>
                <m:chr m:val="∑"/>
                <m:limLoc m:val="undOvr"/>
                <m:supHide m:val="1"/>
                <m:ctrlPr>
                  <w:rPr>
                    <w:rFonts w:ascii="Cambria Math" w:hAnsi="Times New Roman" w:cs="Times New Roman"/>
                    <w:i/>
                    <w:sz w:val="24"/>
                    <w:szCs w:val="24"/>
                  </w:rPr>
                </m:ctrlPr>
              </m:naryPr>
              <m:sub>
                <m:r>
                  <w:rPr>
                    <w:rFonts w:ascii="Cambria Math" w:hAnsi="Times New Roman" w:cs="Times New Roman"/>
                    <w:sz w:val="24"/>
                    <w:szCs w:val="24"/>
                  </w:rPr>
                  <m:t>j</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num>
                      <m:den>
                        <m:r>
                          <w:rPr>
                            <w:rFonts w:ascii="Cambria Math" w:hAnsi="Cambria Math" w:cs="Times New Roman"/>
                            <w:sz w:val="24"/>
                            <w:szCs w:val="24"/>
                          </w:rPr>
                          <m:t>Y</m:t>
                        </m:r>
                      </m:den>
                    </m:f>
                  </m:e>
                </m:d>
                <m:sSub>
                  <m:sSubPr>
                    <m:ctrlPr>
                      <w:rPr>
                        <w:rFonts w:ascii="Cambria Math" w:hAnsi="Times New Roman" w:cs="Times New Roman"/>
                        <w:i/>
                        <w:sz w:val="24"/>
                        <w:szCs w:val="24"/>
                      </w:rPr>
                    </m:ctrlPr>
                  </m:sSubPr>
                  <m:e>
                    <m:r>
                      <w:rPr>
                        <w:rFonts w:ascii="Cambria Math" w:hAnsi="Times New Roman" w:cs="Times New Roman"/>
                        <w:sz w:val="24"/>
                        <w:szCs w:val="24"/>
                      </w:rPr>
                      <m:t>T</m:t>
                    </m:r>
                  </m:e>
                  <m:sub>
                    <m:r>
                      <w:rPr>
                        <w:rFonts w:ascii="Cambria Math" w:hAnsi="Cambria Math" w:cs="Times New Roman"/>
                        <w:sz w:val="24"/>
                        <w:szCs w:val="24"/>
                      </w:rPr>
                      <m:t>ij</m:t>
                    </m:r>
                  </m:sub>
                </m:sSub>
                <m:r>
                  <w:rPr>
                    <w:rFonts w:ascii="Cambria Math" w:hAnsi="Times New Roman" w:cs="Times New Roman"/>
                    <w:sz w:val="24"/>
                    <w:szCs w:val="24"/>
                  </w:rPr>
                  <m:t xml:space="preserve">+ </m:t>
                </m:r>
              </m:e>
            </m:nary>
          </m:e>
        </m:nary>
        <m:nary>
          <m:naryPr>
            <m:chr m:val="∑"/>
            <m:limLoc m:val="undOvr"/>
            <m:supHide m:val="1"/>
            <m:ctrlPr>
              <w:rPr>
                <w:rFonts w:ascii="Cambria Math" w:hAnsi="Times New Roman" w:cs="Times New Roman"/>
                <w:i/>
                <w:sz w:val="24"/>
                <w:szCs w:val="24"/>
              </w:rPr>
            </m:ctrlPr>
          </m:naryPr>
          <m:sub>
            <m:r>
              <w:rPr>
                <w:rFonts w:ascii="Cambria Math" w:hAnsi="Times New Roman" w:cs="Times New Roman"/>
                <w:sz w:val="24"/>
                <w:szCs w:val="24"/>
              </w:rPr>
              <m:t>i</m:t>
            </m:r>
          </m:sub>
          <m:sup/>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num>
                  <m:den>
                    <m:r>
                      <w:rPr>
                        <w:rFonts w:ascii="Cambria Math" w:hAnsi="Cambria Math" w:cs="Times New Roman"/>
                        <w:sz w:val="24"/>
                        <w:szCs w:val="24"/>
                      </w:rPr>
                      <m:t>Y</m:t>
                    </m:r>
                  </m:den>
                </m:f>
              </m:e>
            </m:d>
          </m:e>
        </m:nary>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Wmicro</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Bmes</m:t>
            </m:r>
          </m:sub>
        </m:sSub>
      </m:oMath>
      <w:r w:rsidR="005062E1">
        <w:rPr>
          <w:rFonts w:ascii="Times New Roman" w:eastAsiaTheme="minorEastAsia" w:hAnsi="Times New Roman" w:cs="Times New Roman"/>
          <w:sz w:val="24"/>
          <w:szCs w:val="24"/>
        </w:rPr>
        <w:t xml:space="preserve">                                                                   </w:t>
      </w:r>
      <w:r w:rsidR="00AD7571" w:rsidRPr="003A0FF2">
        <w:rPr>
          <w:rFonts w:ascii="Times New Roman" w:eastAsiaTheme="minorEastAsia" w:hAnsi="Times New Roman" w:cs="Times New Roman"/>
          <w:sz w:val="24"/>
          <w:szCs w:val="24"/>
        </w:rPr>
        <w:t>(7)</w:t>
      </w:r>
    </w:p>
    <w:p w:rsidR="00FA7391" w:rsidRPr="005062E1" w:rsidRDefault="00FA7391" w:rsidP="000E5F22">
      <w:pPr>
        <w:spacing w:line="240" w:lineRule="auto"/>
        <w:rPr>
          <w:rStyle w:val="Hyperlink"/>
          <w:rFonts w:ascii="Times New Roman" w:hAnsi="Times New Roman" w:cs="Times New Roman"/>
          <w:color w:val="000000" w:themeColor="text1"/>
          <w:sz w:val="24"/>
          <w:szCs w:val="24"/>
          <w:u w:val="none"/>
        </w:rPr>
      </w:pPr>
      <w:r w:rsidRPr="005062E1">
        <w:rPr>
          <w:rFonts w:ascii="Times New Roman" w:hAnsi="Times New Roman" w:cs="Times New Roman"/>
          <w:noProof/>
          <w:color w:val="000000" w:themeColor="text1"/>
          <w:sz w:val="24"/>
          <w:szCs w:val="24"/>
          <w:lang w:eastAsia="pt-BR"/>
        </w:rPr>
        <w:t>T</w:t>
      </w:r>
      <w:r w:rsidRPr="005062E1">
        <w:rPr>
          <w:rFonts w:ascii="Times New Roman" w:hAnsi="Times New Roman" w:cs="Times New Roman"/>
          <w:noProof/>
          <w:color w:val="000000" w:themeColor="text1"/>
          <w:sz w:val="24"/>
          <w:szCs w:val="24"/>
          <w:vertAlign w:val="subscript"/>
          <w:lang w:eastAsia="pt-BR"/>
        </w:rPr>
        <w:t xml:space="preserve">d = </w:t>
      </w:r>
      <w:r w:rsidRPr="005062E1">
        <w:rPr>
          <w:rFonts w:ascii="Times New Roman" w:hAnsi="Times New Roman" w:cs="Times New Roman"/>
          <w:noProof/>
          <w:color w:val="000000" w:themeColor="text1"/>
          <w:sz w:val="24"/>
          <w:szCs w:val="24"/>
          <w:lang w:eastAsia="pt-BR"/>
        </w:rPr>
        <w:t>T</w:t>
      </w:r>
      <w:r w:rsidR="002D2AB9" w:rsidRPr="005062E1">
        <w:rPr>
          <w:rFonts w:ascii="Times New Roman" w:hAnsi="Times New Roman" w:cs="Times New Roman"/>
          <w:noProof/>
          <w:color w:val="000000" w:themeColor="text1"/>
          <w:sz w:val="24"/>
          <w:szCs w:val="24"/>
          <w:vertAlign w:val="subscript"/>
          <w:lang w:eastAsia="pt-BR"/>
        </w:rPr>
        <w:t>Wm</w:t>
      </w:r>
      <w:r w:rsidRPr="005062E1">
        <w:rPr>
          <w:rFonts w:ascii="Times New Roman" w:hAnsi="Times New Roman" w:cs="Times New Roman"/>
          <w:noProof/>
          <w:color w:val="000000" w:themeColor="text1"/>
          <w:sz w:val="24"/>
          <w:szCs w:val="24"/>
          <w:vertAlign w:val="subscript"/>
          <w:lang w:eastAsia="pt-BR"/>
        </w:rPr>
        <w:t xml:space="preserve">icro </w:t>
      </w:r>
      <w:r w:rsidRPr="005062E1">
        <w:rPr>
          <w:rFonts w:ascii="Times New Roman" w:hAnsi="Times New Roman" w:cs="Times New Roman"/>
          <w:noProof/>
          <w:color w:val="000000" w:themeColor="text1"/>
          <w:sz w:val="24"/>
          <w:szCs w:val="24"/>
          <w:lang w:eastAsia="pt-BR"/>
        </w:rPr>
        <w:t>+ T</w:t>
      </w:r>
      <w:r w:rsidR="002D2AB9" w:rsidRPr="005062E1">
        <w:rPr>
          <w:rFonts w:ascii="Times New Roman" w:hAnsi="Times New Roman" w:cs="Times New Roman"/>
          <w:noProof/>
          <w:color w:val="000000" w:themeColor="text1"/>
          <w:sz w:val="24"/>
          <w:szCs w:val="24"/>
          <w:vertAlign w:val="subscript"/>
          <w:lang w:eastAsia="pt-BR"/>
        </w:rPr>
        <w:t>Bm</w:t>
      </w:r>
      <w:r w:rsidRPr="005062E1">
        <w:rPr>
          <w:rFonts w:ascii="Times New Roman" w:hAnsi="Times New Roman" w:cs="Times New Roman"/>
          <w:noProof/>
          <w:color w:val="000000" w:themeColor="text1"/>
          <w:sz w:val="24"/>
          <w:szCs w:val="24"/>
          <w:vertAlign w:val="subscript"/>
          <w:lang w:eastAsia="pt-BR"/>
        </w:rPr>
        <w:t xml:space="preserve">icro </w:t>
      </w:r>
      <w:r w:rsidRPr="005062E1">
        <w:rPr>
          <w:rFonts w:ascii="Times New Roman" w:hAnsi="Times New Roman" w:cs="Times New Roman"/>
          <w:noProof/>
          <w:color w:val="000000" w:themeColor="text1"/>
          <w:sz w:val="24"/>
          <w:szCs w:val="24"/>
          <w:lang w:eastAsia="pt-BR"/>
        </w:rPr>
        <w:t xml:space="preserve">+ </w:t>
      </w:r>
      <w:r w:rsidR="002D2AB9" w:rsidRPr="005062E1">
        <w:rPr>
          <w:rStyle w:val="Hyperlink"/>
          <w:rFonts w:ascii="Times New Roman" w:hAnsi="Times New Roman" w:cs="Times New Roman"/>
          <w:color w:val="000000" w:themeColor="text1"/>
          <w:sz w:val="24"/>
          <w:szCs w:val="24"/>
          <w:u w:val="none"/>
        </w:rPr>
        <w:t>T</w:t>
      </w:r>
      <w:r w:rsidR="002D2AB9" w:rsidRPr="005062E1">
        <w:rPr>
          <w:rStyle w:val="Hyperlink"/>
          <w:rFonts w:ascii="Times New Roman" w:hAnsi="Times New Roman" w:cs="Times New Roman"/>
          <w:color w:val="000000" w:themeColor="text1"/>
          <w:sz w:val="24"/>
          <w:szCs w:val="24"/>
          <w:u w:val="none"/>
          <w:vertAlign w:val="subscript"/>
        </w:rPr>
        <w:t>Bmes</w:t>
      </w:r>
      <w:r w:rsidR="005062E1" w:rsidRPr="005062E1">
        <w:rPr>
          <w:rStyle w:val="Hyperlink"/>
          <w:rFonts w:ascii="Times New Roman" w:hAnsi="Times New Roman" w:cs="Times New Roman"/>
          <w:color w:val="000000" w:themeColor="text1"/>
          <w:sz w:val="24"/>
          <w:szCs w:val="24"/>
          <w:u w:val="none"/>
          <w:vertAlign w:val="subscript"/>
        </w:rPr>
        <w:t xml:space="preserve">                                                                                                                                                        </w:t>
      </w:r>
      <w:r w:rsidRPr="005062E1">
        <w:rPr>
          <w:rStyle w:val="Hyperlink"/>
          <w:rFonts w:ascii="Times New Roman" w:hAnsi="Times New Roman" w:cs="Times New Roman"/>
          <w:color w:val="000000" w:themeColor="text1"/>
          <w:sz w:val="24"/>
          <w:szCs w:val="24"/>
          <w:u w:val="none"/>
        </w:rPr>
        <w:t>(8)</w:t>
      </w:r>
    </w:p>
    <w:p w:rsidR="00FA7391" w:rsidRPr="008C78CE" w:rsidRDefault="00FA7391" w:rsidP="000E5F22">
      <w:pPr>
        <w:spacing w:line="240" w:lineRule="auto"/>
        <w:jc w:val="both"/>
        <w:rPr>
          <w:rFonts w:ascii="Times New Roman" w:hAnsi="Times New Roman" w:cs="Times New Roman"/>
          <w:noProof/>
          <w:color w:val="000000" w:themeColor="text1"/>
          <w:sz w:val="24"/>
          <w:szCs w:val="24"/>
          <w:lang w:eastAsia="pt-BR"/>
        </w:rPr>
      </w:pPr>
      <w:r w:rsidRPr="00AD7571">
        <w:rPr>
          <w:rStyle w:val="Hyperlink"/>
          <w:rFonts w:ascii="Times New Roman" w:hAnsi="Times New Roman" w:cs="Times New Roman"/>
          <w:color w:val="000000" w:themeColor="text1"/>
          <w:sz w:val="24"/>
          <w:szCs w:val="24"/>
          <w:u w:val="none"/>
        </w:rPr>
        <w:t xml:space="preserve">Onde: </w:t>
      </w:r>
      <w:r w:rsidRPr="00AD7571">
        <w:rPr>
          <w:rFonts w:ascii="Times New Roman" w:hAnsi="Times New Roman" w:cs="Times New Roman"/>
          <w:noProof/>
          <w:color w:val="000000" w:themeColor="text1"/>
          <w:sz w:val="24"/>
          <w:szCs w:val="24"/>
          <w:lang w:eastAsia="pt-BR"/>
        </w:rPr>
        <w:t>T</w:t>
      </w:r>
      <w:r w:rsidRPr="00AD7571">
        <w:rPr>
          <w:rFonts w:ascii="Times New Roman" w:hAnsi="Times New Roman" w:cs="Times New Roman"/>
          <w:noProof/>
          <w:color w:val="000000" w:themeColor="text1"/>
          <w:sz w:val="24"/>
          <w:szCs w:val="24"/>
          <w:vertAlign w:val="subscript"/>
          <w:lang w:eastAsia="pt-BR"/>
        </w:rPr>
        <w:t xml:space="preserve">WMicro – </w:t>
      </w:r>
      <w:r w:rsidRPr="00AD7571">
        <w:rPr>
          <w:rFonts w:ascii="Times New Roman" w:hAnsi="Times New Roman" w:cs="Times New Roman"/>
          <w:noProof/>
          <w:color w:val="000000" w:themeColor="text1"/>
          <w:sz w:val="24"/>
          <w:szCs w:val="24"/>
          <w:lang w:eastAsia="pt-BR"/>
        </w:rPr>
        <w:t>representa a desigualdade dentro das microrregiões; T</w:t>
      </w:r>
      <w:r w:rsidRPr="00AD7571">
        <w:rPr>
          <w:rFonts w:ascii="Times New Roman" w:hAnsi="Times New Roman" w:cs="Times New Roman"/>
          <w:noProof/>
          <w:color w:val="000000" w:themeColor="text1"/>
          <w:sz w:val="24"/>
          <w:szCs w:val="24"/>
          <w:vertAlign w:val="subscript"/>
          <w:lang w:eastAsia="pt-BR"/>
        </w:rPr>
        <w:t xml:space="preserve">BMicro </w:t>
      </w:r>
      <w:r w:rsidRPr="00AD7571">
        <w:rPr>
          <w:rFonts w:ascii="Times New Roman" w:hAnsi="Times New Roman" w:cs="Times New Roman"/>
          <w:noProof/>
          <w:color w:val="000000" w:themeColor="text1"/>
          <w:sz w:val="24"/>
          <w:szCs w:val="24"/>
          <w:lang w:eastAsia="pt-BR"/>
        </w:rPr>
        <w:t>– representa a desi</w:t>
      </w:r>
      <w:r w:rsidR="008C78CE">
        <w:rPr>
          <w:rFonts w:ascii="Times New Roman" w:hAnsi="Times New Roman" w:cs="Times New Roman"/>
          <w:noProof/>
          <w:color w:val="000000" w:themeColor="text1"/>
          <w:sz w:val="24"/>
          <w:szCs w:val="24"/>
          <w:lang w:eastAsia="pt-BR"/>
        </w:rPr>
        <w:t xml:space="preserve">gualdade entre as microrregiões e </w:t>
      </w:r>
      <w:r w:rsidR="008C78CE" w:rsidRPr="000B1DA6">
        <w:rPr>
          <w:rStyle w:val="Hyperlink"/>
          <w:rFonts w:ascii="Times New Roman" w:hAnsi="Times New Roman" w:cs="Times New Roman"/>
          <w:color w:val="000000" w:themeColor="text1"/>
          <w:sz w:val="24"/>
          <w:szCs w:val="24"/>
          <w:u w:val="none"/>
        </w:rPr>
        <w:t>T</w:t>
      </w:r>
      <w:r w:rsidR="008C78CE">
        <w:rPr>
          <w:rStyle w:val="Hyperlink"/>
          <w:rFonts w:ascii="Times New Roman" w:hAnsi="Times New Roman" w:cs="Times New Roman"/>
          <w:color w:val="000000" w:themeColor="text1"/>
          <w:sz w:val="24"/>
          <w:szCs w:val="24"/>
          <w:u w:val="none"/>
          <w:vertAlign w:val="subscript"/>
        </w:rPr>
        <w:t xml:space="preserve">Bmes </w:t>
      </w:r>
      <w:r w:rsidR="008C78CE">
        <w:rPr>
          <w:rStyle w:val="Hyperlink"/>
          <w:rFonts w:ascii="Times New Roman" w:hAnsi="Times New Roman" w:cs="Times New Roman"/>
          <w:color w:val="000000" w:themeColor="text1"/>
          <w:sz w:val="24"/>
          <w:szCs w:val="24"/>
          <w:u w:val="none"/>
        </w:rPr>
        <w:t>- representa a desigualdade entre as mesorregiões.</w:t>
      </w:r>
    </w:p>
    <w:p w:rsidR="00D82D43" w:rsidRDefault="00FA7391" w:rsidP="000E5F22">
      <w:pPr>
        <w:spacing w:line="240" w:lineRule="auto"/>
        <w:ind w:firstLine="709"/>
        <w:jc w:val="both"/>
        <w:rPr>
          <w:rFonts w:ascii="Times New Roman" w:hAnsi="Times New Roman" w:cs="Times New Roman"/>
          <w:noProof/>
          <w:color w:val="000000" w:themeColor="text1"/>
          <w:sz w:val="24"/>
          <w:szCs w:val="24"/>
          <w:lang w:eastAsia="pt-BR"/>
        </w:rPr>
      </w:pPr>
      <w:r w:rsidRPr="00AD7571">
        <w:rPr>
          <w:rFonts w:ascii="Times New Roman" w:hAnsi="Times New Roman" w:cs="Times New Roman"/>
          <w:noProof/>
          <w:color w:val="000000" w:themeColor="text1"/>
          <w:sz w:val="24"/>
          <w:szCs w:val="24"/>
          <w:lang w:eastAsia="pt-BR"/>
        </w:rPr>
        <w:t xml:space="preserve">O objetivo do trabalho </w:t>
      </w:r>
      <w:r w:rsidR="00AD7571">
        <w:rPr>
          <w:rFonts w:ascii="Times New Roman" w:hAnsi="Times New Roman" w:cs="Times New Roman"/>
          <w:noProof/>
          <w:color w:val="000000" w:themeColor="text1"/>
          <w:sz w:val="24"/>
          <w:szCs w:val="24"/>
          <w:lang w:eastAsia="pt-BR"/>
        </w:rPr>
        <w:t>é</w:t>
      </w:r>
      <w:r w:rsidRPr="00AD7571">
        <w:rPr>
          <w:rFonts w:ascii="Times New Roman" w:hAnsi="Times New Roman" w:cs="Times New Roman"/>
          <w:noProof/>
          <w:color w:val="000000" w:themeColor="text1"/>
          <w:sz w:val="24"/>
          <w:szCs w:val="24"/>
          <w:lang w:eastAsia="pt-BR"/>
        </w:rPr>
        <w:t xml:space="preserve"> chegar a equação (8), decompor o índice em dois niveis: entre microrregião (T</w:t>
      </w:r>
      <w:r w:rsidRPr="00AD7571">
        <w:rPr>
          <w:rFonts w:ascii="Times New Roman" w:hAnsi="Times New Roman" w:cs="Times New Roman"/>
          <w:noProof/>
          <w:color w:val="000000" w:themeColor="text1"/>
          <w:sz w:val="24"/>
          <w:szCs w:val="24"/>
          <w:vertAlign w:val="subscript"/>
          <w:lang w:eastAsia="pt-BR"/>
        </w:rPr>
        <w:t>BMicro</w:t>
      </w:r>
      <w:r w:rsidRPr="00AD7571">
        <w:rPr>
          <w:rFonts w:ascii="Times New Roman" w:hAnsi="Times New Roman" w:cs="Times New Roman"/>
          <w:noProof/>
          <w:color w:val="000000" w:themeColor="text1"/>
          <w:sz w:val="24"/>
          <w:szCs w:val="24"/>
          <w:lang w:eastAsia="pt-BR"/>
        </w:rPr>
        <w:t>), dentro da microrregião (T</w:t>
      </w:r>
      <w:r w:rsidRPr="00AD7571">
        <w:rPr>
          <w:rFonts w:ascii="Times New Roman" w:hAnsi="Times New Roman" w:cs="Times New Roman"/>
          <w:noProof/>
          <w:color w:val="000000" w:themeColor="text1"/>
          <w:sz w:val="24"/>
          <w:szCs w:val="24"/>
          <w:vertAlign w:val="subscript"/>
          <w:lang w:eastAsia="pt-BR"/>
        </w:rPr>
        <w:t>WMicro</w:t>
      </w:r>
      <w:r w:rsidRPr="00AD7571">
        <w:rPr>
          <w:rFonts w:ascii="Times New Roman" w:hAnsi="Times New Roman" w:cs="Times New Roman"/>
          <w:noProof/>
          <w:color w:val="000000" w:themeColor="text1"/>
          <w:sz w:val="24"/>
          <w:szCs w:val="24"/>
          <w:lang w:eastAsia="pt-BR"/>
        </w:rPr>
        <w:t>) e entre mesorregião (</w:t>
      </w:r>
      <w:r w:rsidR="00353FAC" w:rsidRPr="000B1DA6">
        <w:rPr>
          <w:rStyle w:val="Hyperlink"/>
          <w:rFonts w:ascii="Times New Roman" w:hAnsi="Times New Roman" w:cs="Times New Roman"/>
          <w:color w:val="000000" w:themeColor="text1"/>
          <w:sz w:val="24"/>
          <w:szCs w:val="24"/>
          <w:u w:val="none"/>
        </w:rPr>
        <w:t>T</w:t>
      </w:r>
      <w:r w:rsidR="00353FAC">
        <w:rPr>
          <w:rStyle w:val="Hyperlink"/>
          <w:rFonts w:ascii="Times New Roman" w:hAnsi="Times New Roman" w:cs="Times New Roman"/>
          <w:color w:val="000000" w:themeColor="text1"/>
          <w:sz w:val="24"/>
          <w:szCs w:val="24"/>
          <w:u w:val="none"/>
          <w:vertAlign w:val="subscript"/>
        </w:rPr>
        <w:t>Bmes</w:t>
      </w:r>
      <w:r w:rsidRPr="00AD7571">
        <w:rPr>
          <w:rFonts w:ascii="Times New Roman" w:hAnsi="Times New Roman" w:cs="Times New Roman"/>
          <w:noProof/>
          <w:color w:val="000000" w:themeColor="text1"/>
          <w:sz w:val="24"/>
          <w:szCs w:val="24"/>
          <w:lang w:eastAsia="pt-BR"/>
        </w:rPr>
        <w:t>). O gráfico 1 apresenta o resumo do esquema de decomposição.</w:t>
      </w:r>
    </w:p>
    <w:p w:rsidR="009A5D86" w:rsidRDefault="009A5D86" w:rsidP="009A5D86">
      <w:pPr>
        <w:spacing w:line="240" w:lineRule="auto"/>
        <w:jc w:val="center"/>
        <w:rPr>
          <w:rStyle w:val="Hyperlink"/>
          <w:rFonts w:ascii="Times New Roman" w:hAnsi="Times New Roman" w:cs="Times New Roman"/>
          <w:b/>
          <w:color w:val="000000" w:themeColor="text1"/>
          <w:sz w:val="24"/>
          <w:szCs w:val="24"/>
          <w:u w:val="none"/>
        </w:rPr>
      </w:pPr>
    </w:p>
    <w:p w:rsidR="00D82D43" w:rsidRPr="00CD4D5C" w:rsidRDefault="00CD4D5C" w:rsidP="00D82D43">
      <w:pPr>
        <w:spacing w:line="360" w:lineRule="auto"/>
        <w:jc w:val="center"/>
        <w:rPr>
          <w:rStyle w:val="Hyperlink"/>
          <w:rFonts w:ascii="Times New Roman" w:hAnsi="Times New Roman" w:cs="Times New Roman"/>
          <w:color w:val="000000" w:themeColor="text1"/>
          <w:sz w:val="24"/>
          <w:szCs w:val="24"/>
          <w:u w:val="none"/>
        </w:rPr>
      </w:pPr>
      <w:r w:rsidRPr="00CD4D5C">
        <w:rPr>
          <w:rStyle w:val="Hyperlink"/>
          <w:rFonts w:ascii="Times New Roman" w:hAnsi="Times New Roman" w:cs="Times New Roman"/>
          <w:color w:val="000000" w:themeColor="text1"/>
          <w:sz w:val="24"/>
          <w:szCs w:val="24"/>
          <w:u w:val="none"/>
        </w:rPr>
        <w:t>Gráfico</w:t>
      </w:r>
      <w:r>
        <w:rPr>
          <w:rStyle w:val="Hyperlink"/>
          <w:rFonts w:ascii="Times New Roman" w:hAnsi="Times New Roman" w:cs="Times New Roman"/>
          <w:color w:val="000000" w:themeColor="text1"/>
          <w:sz w:val="24"/>
          <w:szCs w:val="24"/>
          <w:u w:val="none"/>
        </w:rPr>
        <w:t xml:space="preserve"> </w:t>
      </w:r>
      <w:r w:rsidRPr="00CD4D5C">
        <w:rPr>
          <w:rStyle w:val="Hyperlink"/>
          <w:rFonts w:ascii="Times New Roman" w:hAnsi="Times New Roman" w:cs="Times New Roman"/>
          <w:color w:val="000000" w:themeColor="text1"/>
          <w:sz w:val="24"/>
          <w:szCs w:val="24"/>
          <w:u w:val="none"/>
        </w:rPr>
        <w:t>6</w:t>
      </w:r>
      <w:r>
        <w:rPr>
          <w:rStyle w:val="Hyperlink"/>
          <w:rFonts w:ascii="Times New Roman" w:hAnsi="Times New Roman" w:cs="Times New Roman"/>
          <w:color w:val="000000" w:themeColor="text1"/>
          <w:sz w:val="24"/>
          <w:szCs w:val="24"/>
          <w:u w:val="none"/>
        </w:rPr>
        <w:t xml:space="preserve"> -</w:t>
      </w:r>
      <w:r w:rsidRPr="00CD4D5C">
        <w:rPr>
          <w:rStyle w:val="Hyperlink"/>
          <w:rFonts w:ascii="Times New Roman" w:hAnsi="Times New Roman" w:cs="Times New Roman"/>
          <w:color w:val="000000" w:themeColor="text1"/>
          <w:sz w:val="24"/>
          <w:szCs w:val="24"/>
          <w:u w:val="none"/>
        </w:rPr>
        <w:t xml:space="preserve"> </w:t>
      </w:r>
      <w:r w:rsidR="007C22F6" w:rsidRPr="00CD4D5C">
        <w:rPr>
          <w:rStyle w:val="Hyperlink"/>
          <w:rFonts w:ascii="Times New Roman" w:hAnsi="Times New Roman" w:cs="Times New Roman"/>
          <w:color w:val="000000" w:themeColor="text1"/>
          <w:sz w:val="24"/>
          <w:szCs w:val="24"/>
          <w:u w:val="none"/>
        </w:rPr>
        <w:t>O</w:t>
      </w:r>
      <w:r w:rsidR="00D82D43" w:rsidRPr="00CD4D5C">
        <w:rPr>
          <w:rStyle w:val="Hyperlink"/>
          <w:rFonts w:ascii="Times New Roman" w:hAnsi="Times New Roman" w:cs="Times New Roman"/>
          <w:color w:val="000000" w:themeColor="text1"/>
          <w:sz w:val="24"/>
          <w:szCs w:val="24"/>
          <w:u w:val="none"/>
        </w:rPr>
        <w:t>rganograma da</w:t>
      </w:r>
      <w:r w:rsidR="007C22F6" w:rsidRPr="00CD4D5C">
        <w:rPr>
          <w:rStyle w:val="Hyperlink"/>
          <w:rFonts w:ascii="Times New Roman" w:hAnsi="Times New Roman" w:cs="Times New Roman"/>
          <w:color w:val="000000" w:themeColor="text1"/>
          <w:sz w:val="24"/>
          <w:szCs w:val="24"/>
          <w:u w:val="none"/>
        </w:rPr>
        <w:t xml:space="preserve"> D</w:t>
      </w:r>
      <w:r w:rsidRPr="00CD4D5C">
        <w:rPr>
          <w:rStyle w:val="Hyperlink"/>
          <w:rFonts w:ascii="Times New Roman" w:hAnsi="Times New Roman" w:cs="Times New Roman"/>
          <w:color w:val="000000" w:themeColor="text1"/>
          <w:sz w:val="24"/>
          <w:szCs w:val="24"/>
          <w:u w:val="none"/>
        </w:rPr>
        <w:t>ecomposição em dois níveis</w:t>
      </w:r>
    </w:p>
    <w:p w:rsidR="00D82D43" w:rsidRDefault="00D82D43" w:rsidP="00D82D43">
      <w:pPr>
        <w:spacing w:line="240" w:lineRule="auto"/>
        <w:jc w:val="center"/>
        <w:rPr>
          <w:rStyle w:val="Hyperlink"/>
          <w:rFonts w:cs="Times New Roman"/>
          <w:color w:val="000000" w:themeColor="text1"/>
          <w:u w:val="none"/>
        </w:rPr>
      </w:pPr>
      <w:r>
        <w:rPr>
          <w:rFonts w:cs="Times New Roman"/>
          <w:noProof/>
          <w:color w:val="000000" w:themeColor="text1"/>
          <w:lang w:eastAsia="pt-BR"/>
        </w:rPr>
        <w:drawing>
          <wp:inline distT="0" distB="0" distL="0" distR="0">
            <wp:extent cx="3181350" cy="2416839"/>
            <wp:effectExtent l="0" t="0" r="0" b="254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presentação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88323" cy="2422136"/>
                    </a:xfrm>
                    <a:prstGeom prst="rect">
                      <a:avLst/>
                    </a:prstGeom>
                  </pic:spPr>
                </pic:pic>
              </a:graphicData>
            </a:graphic>
          </wp:inline>
        </w:drawing>
      </w:r>
    </w:p>
    <w:p w:rsidR="00D82D43" w:rsidRPr="00D82D43" w:rsidRDefault="00D82D43" w:rsidP="009A5D86">
      <w:pPr>
        <w:spacing w:line="240" w:lineRule="auto"/>
        <w:jc w:val="center"/>
        <w:rPr>
          <w:rStyle w:val="Hyperlink"/>
          <w:rFonts w:ascii="Times New Roman" w:hAnsi="Times New Roman" w:cs="Times New Roman"/>
          <w:color w:val="000000" w:themeColor="text1"/>
          <w:sz w:val="20"/>
          <w:szCs w:val="20"/>
          <w:u w:val="none"/>
        </w:rPr>
      </w:pPr>
      <w:r w:rsidRPr="00CD4D5C">
        <w:rPr>
          <w:rStyle w:val="Hyperlink"/>
          <w:rFonts w:ascii="Times New Roman" w:hAnsi="Times New Roman" w:cs="Times New Roman"/>
          <w:color w:val="000000" w:themeColor="text1"/>
          <w:sz w:val="20"/>
          <w:szCs w:val="20"/>
          <w:u w:val="none"/>
        </w:rPr>
        <w:t>Fonte:</w:t>
      </w:r>
      <w:r w:rsidR="00CD4D5C" w:rsidRPr="00CD4D5C">
        <w:rPr>
          <w:rStyle w:val="Hyperlink"/>
          <w:rFonts w:ascii="Times New Roman" w:hAnsi="Times New Roman" w:cs="Times New Roman"/>
          <w:color w:val="000000" w:themeColor="text1"/>
          <w:sz w:val="20"/>
          <w:szCs w:val="20"/>
          <w:u w:val="none"/>
        </w:rPr>
        <w:t xml:space="preserve"> </w:t>
      </w:r>
      <w:r w:rsidR="00CB73AB" w:rsidRPr="00CD4D5C">
        <w:rPr>
          <w:rStyle w:val="Hyperlink"/>
          <w:rFonts w:ascii="Times New Roman" w:hAnsi="Times New Roman" w:cs="Times New Roman"/>
          <w:color w:val="000000" w:themeColor="text1"/>
          <w:sz w:val="20"/>
          <w:szCs w:val="20"/>
          <w:u w:val="none"/>
        </w:rPr>
        <w:t>E</w:t>
      </w:r>
      <w:r w:rsidRPr="00CD4D5C">
        <w:rPr>
          <w:rStyle w:val="Hyperlink"/>
          <w:rFonts w:ascii="Times New Roman" w:hAnsi="Times New Roman" w:cs="Times New Roman"/>
          <w:color w:val="000000" w:themeColor="text1"/>
          <w:sz w:val="20"/>
          <w:szCs w:val="20"/>
          <w:u w:val="none"/>
        </w:rPr>
        <w:t>laboração</w:t>
      </w:r>
      <w:r w:rsidRPr="00D82D43">
        <w:rPr>
          <w:rStyle w:val="Hyperlink"/>
          <w:rFonts w:ascii="Times New Roman" w:hAnsi="Times New Roman" w:cs="Times New Roman"/>
          <w:color w:val="000000" w:themeColor="text1"/>
          <w:sz w:val="20"/>
          <w:szCs w:val="20"/>
          <w:u w:val="none"/>
        </w:rPr>
        <w:t xml:space="preserve"> própria</w:t>
      </w:r>
    </w:p>
    <w:p w:rsidR="009F1AD3" w:rsidRDefault="007F720F" w:rsidP="00FB51C1">
      <w:pPr>
        <w:spacing w:after="0" w:line="240" w:lineRule="auto"/>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5</w:t>
      </w:r>
      <w:r w:rsidRPr="009F1AD3">
        <w:rPr>
          <w:rStyle w:val="Hyperlink"/>
          <w:rFonts w:ascii="Times New Roman" w:hAnsi="Times New Roman" w:cs="Times New Roman"/>
          <w:b/>
          <w:color w:val="000000" w:themeColor="text1"/>
          <w:sz w:val="24"/>
          <w:szCs w:val="24"/>
          <w:u w:val="none"/>
        </w:rPr>
        <w:t>. RESULTADOS</w:t>
      </w:r>
    </w:p>
    <w:p w:rsidR="00FB51C1" w:rsidRDefault="00FB51C1" w:rsidP="00FB51C1">
      <w:pPr>
        <w:spacing w:after="0" w:line="240" w:lineRule="auto"/>
        <w:ind w:firstLine="709"/>
        <w:jc w:val="both"/>
        <w:rPr>
          <w:rStyle w:val="Hyperlink"/>
          <w:rFonts w:ascii="Times New Roman" w:hAnsi="Times New Roman" w:cs="Times New Roman"/>
          <w:color w:val="auto"/>
          <w:sz w:val="24"/>
          <w:szCs w:val="24"/>
          <w:u w:val="none"/>
        </w:rPr>
      </w:pPr>
    </w:p>
    <w:p w:rsidR="005E6E0A" w:rsidRDefault="0025238D" w:rsidP="000E5F22">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Os dados da</w:t>
      </w:r>
      <w:r w:rsidR="007C189E">
        <w:rPr>
          <w:rStyle w:val="Hyperlink"/>
          <w:rFonts w:ascii="Times New Roman" w:hAnsi="Times New Roman" w:cs="Times New Roman"/>
          <w:color w:val="auto"/>
          <w:sz w:val="24"/>
          <w:szCs w:val="24"/>
          <w:u w:val="none"/>
        </w:rPr>
        <w:t xml:space="preserve"> tabela 3</w:t>
      </w:r>
      <w:r w:rsidR="009F1AD3" w:rsidRPr="00AF4353">
        <w:rPr>
          <w:rStyle w:val="Hyperlink"/>
          <w:rFonts w:ascii="Times New Roman" w:hAnsi="Times New Roman" w:cs="Times New Roman"/>
          <w:color w:val="auto"/>
          <w:sz w:val="24"/>
          <w:szCs w:val="24"/>
          <w:u w:val="none"/>
        </w:rPr>
        <w:t xml:space="preserve"> apresenta</w:t>
      </w:r>
      <w:r>
        <w:rPr>
          <w:rStyle w:val="Hyperlink"/>
          <w:rFonts w:ascii="Times New Roman" w:hAnsi="Times New Roman" w:cs="Times New Roman"/>
          <w:color w:val="auto"/>
          <w:sz w:val="24"/>
          <w:szCs w:val="24"/>
          <w:u w:val="none"/>
        </w:rPr>
        <w:t>m</w:t>
      </w:r>
      <w:r w:rsidR="009F1AD3" w:rsidRPr="00AF4353">
        <w:rPr>
          <w:rStyle w:val="Hyperlink"/>
          <w:rFonts w:ascii="Times New Roman" w:hAnsi="Times New Roman" w:cs="Times New Roman"/>
          <w:color w:val="auto"/>
          <w:sz w:val="24"/>
          <w:szCs w:val="24"/>
          <w:u w:val="none"/>
        </w:rPr>
        <w:t xml:space="preserve"> o índice de Theil –T para Pernambuco e suas mesorregiões</w:t>
      </w:r>
      <w:r w:rsidR="006E3BB2">
        <w:rPr>
          <w:rStyle w:val="Hyperlink"/>
          <w:rFonts w:ascii="Times New Roman" w:hAnsi="Times New Roman" w:cs="Times New Roman"/>
          <w:color w:val="auto"/>
          <w:sz w:val="24"/>
          <w:szCs w:val="24"/>
          <w:u w:val="none"/>
        </w:rPr>
        <w:t>,</w:t>
      </w:r>
      <w:r w:rsidR="009F1AD3" w:rsidRPr="00AF4353">
        <w:rPr>
          <w:rStyle w:val="Hyperlink"/>
          <w:rFonts w:ascii="Times New Roman" w:hAnsi="Times New Roman" w:cs="Times New Roman"/>
          <w:color w:val="auto"/>
          <w:sz w:val="24"/>
          <w:szCs w:val="24"/>
          <w:u w:val="none"/>
        </w:rPr>
        <w:t xml:space="preserve"> para os anos </w:t>
      </w:r>
      <w:r w:rsidR="001B11FA">
        <w:rPr>
          <w:rStyle w:val="Hyperlink"/>
          <w:rFonts w:ascii="Times New Roman" w:hAnsi="Times New Roman" w:cs="Times New Roman"/>
          <w:color w:val="auto"/>
          <w:sz w:val="24"/>
          <w:szCs w:val="24"/>
          <w:u w:val="none"/>
        </w:rPr>
        <w:t>2002</w:t>
      </w:r>
      <w:r w:rsidR="00AF4353">
        <w:rPr>
          <w:rStyle w:val="Hyperlink"/>
          <w:rFonts w:ascii="Times New Roman" w:hAnsi="Times New Roman" w:cs="Times New Roman"/>
          <w:color w:val="auto"/>
          <w:sz w:val="24"/>
          <w:szCs w:val="24"/>
          <w:u w:val="none"/>
        </w:rPr>
        <w:t xml:space="preserve"> </w:t>
      </w:r>
      <w:r w:rsidR="007C189E">
        <w:rPr>
          <w:rStyle w:val="Hyperlink"/>
          <w:rFonts w:ascii="Times New Roman" w:hAnsi="Times New Roman" w:cs="Times New Roman"/>
          <w:color w:val="auto"/>
          <w:sz w:val="24"/>
          <w:szCs w:val="24"/>
          <w:u w:val="none"/>
        </w:rPr>
        <w:t>a</w:t>
      </w:r>
      <w:r w:rsidR="00AF4353">
        <w:rPr>
          <w:rStyle w:val="Hyperlink"/>
          <w:rFonts w:ascii="Times New Roman" w:hAnsi="Times New Roman" w:cs="Times New Roman"/>
          <w:color w:val="auto"/>
          <w:sz w:val="24"/>
          <w:szCs w:val="24"/>
          <w:u w:val="none"/>
        </w:rPr>
        <w:t xml:space="preserve"> 2012</w:t>
      </w:r>
      <w:r w:rsidR="009F1AD3" w:rsidRPr="00AF4353">
        <w:rPr>
          <w:rStyle w:val="Hyperlink"/>
          <w:rFonts w:ascii="Times New Roman" w:hAnsi="Times New Roman" w:cs="Times New Roman"/>
          <w:color w:val="auto"/>
          <w:sz w:val="24"/>
          <w:szCs w:val="24"/>
          <w:u w:val="none"/>
        </w:rPr>
        <w:t>. Percebe-se que</w:t>
      </w:r>
      <w:r>
        <w:rPr>
          <w:rStyle w:val="Hyperlink"/>
          <w:rFonts w:ascii="Times New Roman" w:hAnsi="Times New Roman" w:cs="Times New Roman"/>
          <w:color w:val="auto"/>
          <w:sz w:val="24"/>
          <w:szCs w:val="24"/>
          <w:u w:val="none"/>
        </w:rPr>
        <w:t xml:space="preserve"> o crescimento</w:t>
      </w:r>
      <w:r w:rsidR="009F1AD3" w:rsidRPr="00AF4353">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d</w:t>
      </w:r>
      <w:r w:rsidR="009F1AD3" w:rsidRPr="00AF4353">
        <w:rPr>
          <w:rStyle w:val="Hyperlink"/>
          <w:rFonts w:ascii="Times New Roman" w:hAnsi="Times New Roman" w:cs="Times New Roman"/>
          <w:color w:val="auto"/>
          <w:sz w:val="24"/>
          <w:szCs w:val="24"/>
          <w:u w:val="none"/>
        </w:rPr>
        <w:t xml:space="preserve">a desigualdade do PIB captada </w:t>
      </w:r>
      <w:r>
        <w:rPr>
          <w:rStyle w:val="Hyperlink"/>
          <w:rFonts w:ascii="Times New Roman" w:hAnsi="Times New Roman" w:cs="Times New Roman"/>
          <w:color w:val="auto"/>
          <w:sz w:val="24"/>
          <w:szCs w:val="24"/>
          <w:u w:val="none"/>
        </w:rPr>
        <w:t>pelo índice foi de</w:t>
      </w:r>
      <w:r w:rsidR="001B11FA">
        <w:rPr>
          <w:rStyle w:val="Hyperlink"/>
          <w:rFonts w:ascii="Times New Roman" w:hAnsi="Times New Roman" w:cs="Times New Roman"/>
          <w:color w:val="auto"/>
          <w:sz w:val="24"/>
          <w:szCs w:val="24"/>
          <w:u w:val="none"/>
        </w:rPr>
        <w:t xml:space="preserve"> cerca de 48</w:t>
      </w:r>
      <w:r w:rsidR="00AF4353">
        <w:rPr>
          <w:rStyle w:val="Hyperlink"/>
          <w:rFonts w:ascii="Times New Roman" w:hAnsi="Times New Roman" w:cs="Times New Roman"/>
          <w:color w:val="auto"/>
          <w:sz w:val="24"/>
          <w:szCs w:val="24"/>
          <w:u w:val="none"/>
        </w:rPr>
        <w:t>%</w:t>
      </w:r>
      <w:r w:rsidR="009F1AD3" w:rsidRPr="00AF4353">
        <w:rPr>
          <w:rStyle w:val="Hyperlink"/>
          <w:rFonts w:ascii="Times New Roman" w:hAnsi="Times New Roman" w:cs="Times New Roman"/>
          <w:color w:val="auto"/>
          <w:sz w:val="24"/>
          <w:szCs w:val="24"/>
          <w:u w:val="none"/>
        </w:rPr>
        <w:t xml:space="preserve"> durante todo o período. Entre os anos analisados houve red</w:t>
      </w:r>
      <w:r w:rsidR="00AF4353">
        <w:rPr>
          <w:rStyle w:val="Hyperlink"/>
          <w:rFonts w:ascii="Times New Roman" w:hAnsi="Times New Roman" w:cs="Times New Roman"/>
          <w:color w:val="auto"/>
          <w:sz w:val="24"/>
          <w:szCs w:val="24"/>
          <w:u w:val="none"/>
        </w:rPr>
        <w:t>ução da de</w:t>
      </w:r>
      <w:r w:rsidR="007053BC">
        <w:rPr>
          <w:rStyle w:val="Hyperlink"/>
          <w:rFonts w:ascii="Times New Roman" w:hAnsi="Times New Roman" w:cs="Times New Roman"/>
          <w:color w:val="auto"/>
          <w:sz w:val="24"/>
          <w:szCs w:val="24"/>
          <w:u w:val="none"/>
        </w:rPr>
        <w:t xml:space="preserve">sigualdade </w:t>
      </w:r>
      <w:r w:rsidR="001B11FA">
        <w:rPr>
          <w:rStyle w:val="Hyperlink"/>
          <w:rFonts w:ascii="Times New Roman" w:hAnsi="Times New Roman" w:cs="Times New Roman"/>
          <w:color w:val="auto"/>
          <w:sz w:val="24"/>
          <w:szCs w:val="24"/>
          <w:u w:val="none"/>
        </w:rPr>
        <w:t>na mesorregião</w:t>
      </w:r>
      <w:r w:rsidR="00AF4353">
        <w:rPr>
          <w:rStyle w:val="Hyperlink"/>
          <w:rFonts w:ascii="Times New Roman" w:hAnsi="Times New Roman" w:cs="Times New Roman"/>
          <w:color w:val="auto"/>
          <w:sz w:val="24"/>
          <w:szCs w:val="24"/>
          <w:u w:val="none"/>
        </w:rPr>
        <w:t xml:space="preserve"> do São Francisco,</w:t>
      </w:r>
      <w:r w:rsidR="00441304">
        <w:rPr>
          <w:rStyle w:val="Hyperlink"/>
          <w:rFonts w:ascii="Times New Roman" w:hAnsi="Times New Roman" w:cs="Times New Roman"/>
          <w:color w:val="auto"/>
          <w:sz w:val="24"/>
          <w:szCs w:val="24"/>
          <w:u w:val="none"/>
        </w:rPr>
        <w:t xml:space="preserve"> </w:t>
      </w:r>
      <w:r w:rsidR="007053BC">
        <w:rPr>
          <w:rStyle w:val="Hyperlink"/>
          <w:rFonts w:ascii="Times New Roman" w:hAnsi="Times New Roman" w:cs="Times New Roman"/>
          <w:color w:val="auto"/>
          <w:sz w:val="24"/>
          <w:szCs w:val="24"/>
          <w:u w:val="none"/>
        </w:rPr>
        <w:t xml:space="preserve">com redução </w:t>
      </w:r>
      <w:r w:rsidR="001B11FA">
        <w:rPr>
          <w:rStyle w:val="Hyperlink"/>
          <w:rFonts w:ascii="Times New Roman" w:hAnsi="Times New Roman" w:cs="Times New Roman"/>
          <w:color w:val="auto"/>
          <w:sz w:val="24"/>
          <w:szCs w:val="24"/>
          <w:u w:val="none"/>
        </w:rPr>
        <w:t>38,46%</w:t>
      </w:r>
      <w:r w:rsidR="002F5F7A">
        <w:rPr>
          <w:rStyle w:val="Hyperlink"/>
          <w:rFonts w:ascii="Times New Roman" w:hAnsi="Times New Roman" w:cs="Times New Roman"/>
          <w:color w:val="auto"/>
          <w:sz w:val="24"/>
          <w:szCs w:val="24"/>
          <w:u w:val="none"/>
        </w:rPr>
        <w:t xml:space="preserve">. </w:t>
      </w:r>
    </w:p>
    <w:p w:rsidR="00FE25E3" w:rsidRDefault="00FE25E3" w:rsidP="000E5F22">
      <w:pPr>
        <w:spacing w:line="240" w:lineRule="auto"/>
        <w:ind w:firstLine="709"/>
        <w:jc w:val="both"/>
        <w:rPr>
          <w:rStyle w:val="Hyperlink"/>
          <w:rFonts w:ascii="Times New Roman" w:hAnsi="Times New Roman" w:cs="Times New Roman"/>
          <w:color w:val="auto"/>
          <w:sz w:val="24"/>
          <w:szCs w:val="24"/>
          <w:u w:val="none"/>
        </w:rPr>
      </w:pPr>
    </w:p>
    <w:p w:rsidR="00BA5EF8" w:rsidRDefault="00BA5EF8" w:rsidP="00F41A50">
      <w:pPr>
        <w:spacing w:after="0" w:line="240" w:lineRule="auto"/>
        <w:jc w:val="center"/>
        <w:rPr>
          <w:rFonts w:ascii="Times New Roman" w:eastAsia="Times New Roman" w:hAnsi="Times New Roman" w:cs="Times New Roman"/>
          <w:bCs/>
          <w:color w:val="000000"/>
          <w:sz w:val="24"/>
          <w:szCs w:val="24"/>
          <w:lang w:eastAsia="pt-BR"/>
        </w:rPr>
      </w:pPr>
      <w:r w:rsidRPr="00EA3718">
        <w:rPr>
          <w:rFonts w:ascii="Times New Roman" w:eastAsia="Times New Roman" w:hAnsi="Times New Roman" w:cs="Times New Roman"/>
          <w:bCs/>
          <w:color w:val="000000"/>
          <w:sz w:val="24"/>
          <w:szCs w:val="24"/>
          <w:lang w:eastAsia="pt-BR"/>
        </w:rPr>
        <w:t>Tabela 3 - Índice</w:t>
      </w:r>
      <w:r>
        <w:rPr>
          <w:rFonts w:ascii="Times New Roman" w:eastAsia="Times New Roman" w:hAnsi="Times New Roman" w:cs="Times New Roman"/>
          <w:bCs/>
          <w:color w:val="000000"/>
          <w:sz w:val="24"/>
          <w:szCs w:val="24"/>
          <w:lang w:eastAsia="pt-BR"/>
        </w:rPr>
        <w:t xml:space="preserve"> de disparidade (PIB) Theil-T para as Mesorregiões de</w:t>
      </w:r>
      <w:r w:rsidRPr="00EA3718">
        <w:rPr>
          <w:rFonts w:ascii="Times New Roman" w:eastAsia="Times New Roman" w:hAnsi="Times New Roman" w:cs="Times New Roman"/>
          <w:bCs/>
          <w:color w:val="000000"/>
          <w:sz w:val="24"/>
          <w:szCs w:val="24"/>
          <w:lang w:eastAsia="pt-BR"/>
        </w:rPr>
        <w:t xml:space="preserve"> Pernambuco</w:t>
      </w:r>
    </w:p>
    <w:tbl>
      <w:tblPr>
        <w:tblW w:w="9204" w:type="dxa"/>
        <w:tblInd w:w="53" w:type="dxa"/>
        <w:tblLayout w:type="fixed"/>
        <w:tblCellMar>
          <w:left w:w="70" w:type="dxa"/>
          <w:right w:w="70" w:type="dxa"/>
        </w:tblCellMar>
        <w:tblLook w:val="04A0" w:firstRow="1" w:lastRow="0" w:firstColumn="1" w:lastColumn="0" w:noHBand="0" w:noVBand="1"/>
      </w:tblPr>
      <w:tblGrid>
        <w:gridCol w:w="1293"/>
        <w:gridCol w:w="649"/>
        <w:gridCol w:w="713"/>
        <w:gridCol w:w="623"/>
        <w:gridCol w:w="709"/>
        <w:gridCol w:w="651"/>
        <w:gridCol w:w="766"/>
        <w:gridCol w:w="622"/>
        <w:gridCol w:w="654"/>
        <w:gridCol w:w="617"/>
        <w:gridCol w:w="659"/>
        <w:gridCol w:w="607"/>
        <w:gridCol w:w="511"/>
        <w:gridCol w:w="130"/>
      </w:tblGrid>
      <w:tr w:rsidR="00EC174F" w:rsidRPr="00EC174F" w:rsidTr="00485B39">
        <w:trPr>
          <w:gridAfter w:val="1"/>
          <w:wAfter w:w="130" w:type="dxa"/>
          <w:trHeight w:val="307"/>
        </w:trPr>
        <w:tc>
          <w:tcPr>
            <w:tcW w:w="1293" w:type="dxa"/>
            <w:tcBorders>
              <w:left w:val="nil"/>
            </w:tcBorders>
            <w:shd w:val="clear" w:color="auto" w:fill="auto"/>
            <w:noWrap/>
            <w:vAlign w:val="bottom"/>
            <w:hideMark/>
          </w:tcPr>
          <w:p w:rsidR="00EC174F" w:rsidRPr="00EC174F" w:rsidRDefault="00EC174F" w:rsidP="00F41A50">
            <w:pPr>
              <w:spacing w:after="0" w:line="240" w:lineRule="auto"/>
              <w:rPr>
                <w:rFonts w:ascii="Times New Roman" w:eastAsia="Times New Roman" w:hAnsi="Times New Roman" w:cs="Times New Roman"/>
                <w:color w:val="000000"/>
                <w:sz w:val="18"/>
                <w:szCs w:val="18"/>
                <w:lang w:eastAsia="pt-BR"/>
              </w:rPr>
            </w:pPr>
          </w:p>
        </w:tc>
        <w:tc>
          <w:tcPr>
            <w:tcW w:w="1362" w:type="dxa"/>
            <w:gridSpan w:val="2"/>
            <w:tcBorders>
              <w:top w:val="single" w:sz="4" w:space="0" w:color="auto"/>
              <w:left w:val="nil"/>
              <w:bottom w:val="single" w:sz="4" w:space="0" w:color="auto"/>
              <w:right w:val="nil"/>
            </w:tcBorders>
            <w:shd w:val="clear" w:color="auto" w:fill="auto"/>
            <w:noWrap/>
            <w:vAlign w:val="bottom"/>
            <w:hideMark/>
          </w:tcPr>
          <w:p w:rsidR="00EC174F" w:rsidRPr="00EC174F" w:rsidRDefault="00EC174F" w:rsidP="00B759F5">
            <w:pPr>
              <w:spacing w:after="0" w:line="240" w:lineRule="auto"/>
              <w:jc w:val="center"/>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2002</w:t>
            </w:r>
          </w:p>
        </w:tc>
        <w:tc>
          <w:tcPr>
            <w:tcW w:w="13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C174F" w:rsidRPr="00EC174F" w:rsidRDefault="00EC174F" w:rsidP="00B759F5">
            <w:pPr>
              <w:spacing w:after="0" w:line="240" w:lineRule="auto"/>
              <w:jc w:val="center"/>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2004</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74F" w:rsidRPr="00EC174F" w:rsidRDefault="00EC174F" w:rsidP="00B759F5">
            <w:pPr>
              <w:spacing w:after="0" w:line="240" w:lineRule="auto"/>
              <w:jc w:val="center"/>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2006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74F" w:rsidRPr="00EC174F" w:rsidRDefault="00EC174F" w:rsidP="00B759F5">
            <w:pPr>
              <w:spacing w:after="0" w:line="240" w:lineRule="auto"/>
              <w:jc w:val="center"/>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2008</w:t>
            </w:r>
          </w:p>
        </w:tc>
        <w:tc>
          <w:tcPr>
            <w:tcW w:w="1276" w:type="dxa"/>
            <w:gridSpan w:val="2"/>
            <w:tcBorders>
              <w:top w:val="single" w:sz="4" w:space="0" w:color="auto"/>
              <w:left w:val="single" w:sz="4" w:space="0" w:color="auto"/>
              <w:bottom w:val="single" w:sz="4" w:space="0" w:color="auto"/>
              <w:right w:val="nil"/>
            </w:tcBorders>
            <w:shd w:val="clear" w:color="auto" w:fill="auto"/>
            <w:noWrap/>
            <w:vAlign w:val="bottom"/>
            <w:hideMark/>
          </w:tcPr>
          <w:p w:rsidR="00EC174F" w:rsidRPr="00EC174F" w:rsidRDefault="00EC174F" w:rsidP="00B759F5">
            <w:pPr>
              <w:spacing w:after="0" w:line="240" w:lineRule="auto"/>
              <w:jc w:val="center"/>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2010</w:t>
            </w:r>
          </w:p>
        </w:tc>
        <w:tc>
          <w:tcPr>
            <w:tcW w:w="1118" w:type="dxa"/>
            <w:gridSpan w:val="2"/>
            <w:tcBorders>
              <w:top w:val="single" w:sz="4" w:space="0" w:color="auto"/>
              <w:left w:val="single" w:sz="4" w:space="0" w:color="auto"/>
              <w:bottom w:val="single" w:sz="4" w:space="0" w:color="auto"/>
            </w:tcBorders>
            <w:shd w:val="clear" w:color="auto" w:fill="auto"/>
            <w:vAlign w:val="bottom"/>
          </w:tcPr>
          <w:p w:rsidR="00EC174F" w:rsidRPr="00EC174F" w:rsidRDefault="00EC174F" w:rsidP="00B759F5">
            <w:pPr>
              <w:spacing w:after="0" w:line="240" w:lineRule="auto"/>
              <w:jc w:val="center"/>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2012</w:t>
            </w:r>
          </w:p>
        </w:tc>
      </w:tr>
      <w:tr w:rsidR="00E2222E" w:rsidRPr="00B26462" w:rsidTr="00485B39">
        <w:trPr>
          <w:trHeight w:val="307"/>
        </w:trPr>
        <w:tc>
          <w:tcPr>
            <w:tcW w:w="1293" w:type="dxa"/>
            <w:tcBorders>
              <w:left w:val="nil"/>
              <w:bottom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p>
        </w:tc>
        <w:tc>
          <w:tcPr>
            <w:tcW w:w="649" w:type="dxa"/>
            <w:tcBorders>
              <w:top w:val="single" w:sz="4" w:space="0" w:color="auto"/>
              <w:left w:val="nil"/>
              <w:bottom w:val="nil"/>
              <w:right w:val="nil"/>
            </w:tcBorders>
            <w:shd w:val="clear" w:color="auto" w:fill="auto"/>
            <w:noWrap/>
            <w:vAlign w:val="center"/>
            <w:hideMark/>
          </w:tcPr>
          <w:p w:rsidR="00B759F5" w:rsidRPr="00EC174F" w:rsidRDefault="00B759F5" w:rsidP="0012133B">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PIB</w:t>
            </w:r>
          </w:p>
        </w:tc>
        <w:tc>
          <w:tcPr>
            <w:tcW w:w="713" w:type="dxa"/>
            <w:tcBorders>
              <w:top w:val="single" w:sz="4" w:space="0" w:color="auto"/>
              <w:left w:val="nil"/>
              <w:bottom w:val="nil"/>
              <w:right w:val="single" w:sz="4" w:space="0" w:color="auto"/>
            </w:tcBorders>
            <w:vAlign w:val="center"/>
          </w:tcPr>
          <w:p w:rsidR="00B759F5" w:rsidRPr="00EC174F" w:rsidRDefault="00B759F5" w:rsidP="0012133B">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Renda</w:t>
            </w:r>
          </w:p>
        </w:tc>
        <w:tc>
          <w:tcPr>
            <w:tcW w:w="623"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PIB</w:t>
            </w:r>
          </w:p>
        </w:tc>
        <w:tc>
          <w:tcPr>
            <w:tcW w:w="709" w:type="dxa"/>
            <w:tcBorders>
              <w:top w:val="single" w:sz="4" w:space="0" w:color="auto"/>
              <w:left w:val="nil"/>
              <w:bottom w:val="nil"/>
              <w:right w:val="single" w:sz="4" w:space="0" w:color="auto"/>
            </w:tcBorders>
            <w:vAlign w:val="center"/>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Renda</w:t>
            </w:r>
          </w:p>
        </w:tc>
        <w:tc>
          <w:tcPr>
            <w:tcW w:w="651"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PIB</w:t>
            </w:r>
          </w:p>
        </w:tc>
        <w:tc>
          <w:tcPr>
            <w:tcW w:w="766" w:type="dxa"/>
            <w:tcBorders>
              <w:top w:val="single" w:sz="4" w:space="0" w:color="auto"/>
              <w:left w:val="nil"/>
              <w:bottom w:val="nil"/>
              <w:right w:val="single" w:sz="4" w:space="0" w:color="auto"/>
            </w:tcBorders>
            <w:vAlign w:val="center"/>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Renda</w:t>
            </w:r>
          </w:p>
        </w:tc>
        <w:tc>
          <w:tcPr>
            <w:tcW w:w="622"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PIB</w:t>
            </w:r>
          </w:p>
        </w:tc>
        <w:tc>
          <w:tcPr>
            <w:tcW w:w="654" w:type="dxa"/>
            <w:tcBorders>
              <w:top w:val="single" w:sz="4" w:space="0" w:color="auto"/>
              <w:left w:val="nil"/>
              <w:bottom w:val="nil"/>
              <w:right w:val="single" w:sz="4" w:space="0" w:color="auto"/>
            </w:tcBorders>
            <w:vAlign w:val="center"/>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Renda</w:t>
            </w:r>
          </w:p>
        </w:tc>
        <w:tc>
          <w:tcPr>
            <w:tcW w:w="617"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PIB</w:t>
            </w:r>
          </w:p>
        </w:tc>
        <w:tc>
          <w:tcPr>
            <w:tcW w:w="659" w:type="dxa"/>
            <w:tcBorders>
              <w:top w:val="single" w:sz="4" w:space="0" w:color="auto"/>
              <w:left w:val="nil"/>
              <w:bottom w:val="nil"/>
              <w:right w:val="single" w:sz="4" w:space="0" w:color="auto"/>
            </w:tcBorders>
            <w:vAlign w:val="center"/>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Renda</w:t>
            </w:r>
          </w:p>
        </w:tc>
        <w:tc>
          <w:tcPr>
            <w:tcW w:w="607"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PIB</w:t>
            </w:r>
          </w:p>
        </w:tc>
        <w:tc>
          <w:tcPr>
            <w:tcW w:w="641" w:type="dxa"/>
            <w:gridSpan w:val="2"/>
            <w:tcBorders>
              <w:top w:val="single" w:sz="4" w:space="0" w:color="auto"/>
              <w:left w:val="nil"/>
              <w:bottom w:val="nil"/>
              <w:right w:val="nil"/>
            </w:tcBorders>
            <w:vAlign w:val="center"/>
          </w:tcPr>
          <w:p w:rsidR="00B759F5" w:rsidRPr="00EC174F" w:rsidRDefault="00B759F5" w:rsidP="000D3B6A">
            <w:pPr>
              <w:spacing w:after="0" w:line="240" w:lineRule="auto"/>
              <w:jc w:val="center"/>
              <w:rPr>
                <w:rFonts w:ascii="Times New Roman" w:hAnsi="Times New Roman" w:cs="Times New Roman"/>
                <w:b/>
                <w:color w:val="000000"/>
                <w:sz w:val="18"/>
                <w:szCs w:val="18"/>
              </w:rPr>
            </w:pPr>
            <w:r w:rsidRPr="00EC174F">
              <w:rPr>
                <w:rFonts w:ascii="Times New Roman" w:hAnsi="Times New Roman" w:cs="Times New Roman"/>
                <w:b/>
                <w:color w:val="000000"/>
                <w:sz w:val="18"/>
                <w:szCs w:val="18"/>
              </w:rPr>
              <w:t>Renda</w:t>
            </w:r>
          </w:p>
        </w:tc>
      </w:tr>
      <w:tr w:rsidR="00E2222E" w:rsidRPr="00B26462" w:rsidTr="00485B39">
        <w:trPr>
          <w:trHeight w:val="307"/>
        </w:trPr>
        <w:tc>
          <w:tcPr>
            <w:tcW w:w="1293" w:type="dxa"/>
            <w:tcBorders>
              <w:top w:val="single" w:sz="4" w:space="0" w:color="auto"/>
              <w:left w:val="nil"/>
              <w:bottom w:val="nil"/>
              <w:right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Sertão</w:t>
            </w:r>
          </w:p>
        </w:tc>
        <w:tc>
          <w:tcPr>
            <w:tcW w:w="649"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0,061</w:t>
            </w:r>
          </w:p>
        </w:tc>
        <w:tc>
          <w:tcPr>
            <w:tcW w:w="713" w:type="dxa"/>
            <w:tcBorders>
              <w:top w:val="single" w:sz="4" w:space="0" w:color="auto"/>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1,205</w:t>
            </w:r>
          </w:p>
        </w:tc>
        <w:tc>
          <w:tcPr>
            <w:tcW w:w="623"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0,061</w:t>
            </w:r>
          </w:p>
        </w:tc>
        <w:tc>
          <w:tcPr>
            <w:tcW w:w="709" w:type="dxa"/>
            <w:tcBorders>
              <w:top w:val="single" w:sz="4" w:space="0" w:color="auto"/>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1,065</w:t>
            </w:r>
          </w:p>
        </w:tc>
        <w:tc>
          <w:tcPr>
            <w:tcW w:w="651"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0,067</w:t>
            </w:r>
          </w:p>
        </w:tc>
        <w:tc>
          <w:tcPr>
            <w:tcW w:w="766" w:type="dxa"/>
            <w:tcBorders>
              <w:top w:val="single" w:sz="4" w:space="0" w:color="auto"/>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1,040</w:t>
            </w:r>
          </w:p>
        </w:tc>
        <w:tc>
          <w:tcPr>
            <w:tcW w:w="622"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0,071</w:t>
            </w:r>
          </w:p>
        </w:tc>
        <w:tc>
          <w:tcPr>
            <w:tcW w:w="654" w:type="dxa"/>
            <w:tcBorders>
              <w:top w:val="single" w:sz="4" w:space="0" w:color="auto"/>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1,088</w:t>
            </w:r>
          </w:p>
        </w:tc>
        <w:tc>
          <w:tcPr>
            <w:tcW w:w="617"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0,091</w:t>
            </w:r>
          </w:p>
        </w:tc>
        <w:tc>
          <w:tcPr>
            <w:tcW w:w="659" w:type="dxa"/>
            <w:tcBorders>
              <w:top w:val="single" w:sz="4" w:space="0" w:color="auto"/>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1,053</w:t>
            </w:r>
          </w:p>
        </w:tc>
        <w:tc>
          <w:tcPr>
            <w:tcW w:w="607" w:type="dxa"/>
            <w:tcBorders>
              <w:top w:val="single" w:sz="4" w:space="0" w:color="auto"/>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0,111</w:t>
            </w:r>
          </w:p>
        </w:tc>
        <w:tc>
          <w:tcPr>
            <w:tcW w:w="641" w:type="dxa"/>
            <w:gridSpan w:val="2"/>
            <w:tcBorders>
              <w:top w:val="single" w:sz="4" w:space="0" w:color="auto"/>
              <w:left w:val="nil"/>
              <w:bottom w:val="nil"/>
              <w:right w:val="nil"/>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0,963</w:t>
            </w:r>
          </w:p>
        </w:tc>
      </w:tr>
      <w:tr w:rsidR="00E2222E" w:rsidRPr="00B26462" w:rsidTr="00485B39">
        <w:trPr>
          <w:trHeight w:val="307"/>
        </w:trPr>
        <w:tc>
          <w:tcPr>
            <w:tcW w:w="1293" w:type="dxa"/>
            <w:tcBorders>
              <w:top w:val="nil"/>
              <w:left w:val="nil"/>
              <w:bottom w:val="nil"/>
              <w:right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São Francisco</w:t>
            </w:r>
          </w:p>
        </w:tc>
        <w:tc>
          <w:tcPr>
            <w:tcW w:w="649"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0,232</w:t>
            </w:r>
          </w:p>
        </w:tc>
        <w:tc>
          <w:tcPr>
            <w:tcW w:w="713"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1,629</w:t>
            </w:r>
          </w:p>
        </w:tc>
        <w:tc>
          <w:tcPr>
            <w:tcW w:w="623"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0,248</w:t>
            </w:r>
          </w:p>
        </w:tc>
        <w:tc>
          <w:tcPr>
            <w:tcW w:w="70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1,472</w:t>
            </w:r>
          </w:p>
        </w:tc>
        <w:tc>
          <w:tcPr>
            <w:tcW w:w="651"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0,161</w:t>
            </w:r>
          </w:p>
        </w:tc>
        <w:tc>
          <w:tcPr>
            <w:tcW w:w="766"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2,024</w:t>
            </w:r>
          </w:p>
        </w:tc>
        <w:tc>
          <w:tcPr>
            <w:tcW w:w="622"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0,174</w:t>
            </w:r>
          </w:p>
        </w:tc>
        <w:tc>
          <w:tcPr>
            <w:tcW w:w="654"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1,693</w:t>
            </w:r>
          </w:p>
        </w:tc>
        <w:tc>
          <w:tcPr>
            <w:tcW w:w="61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0,146</w:t>
            </w:r>
          </w:p>
        </w:tc>
        <w:tc>
          <w:tcPr>
            <w:tcW w:w="65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1,291</w:t>
            </w:r>
          </w:p>
        </w:tc>
        <w:tc>
          <w:tcPr>
            <w:tcW w:w="60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0,143</w:t>
            </w:r>
          </w:p>
        </w:tc>
        <w:tc>
          <w:tcPr>
            <w:tcW w:w="641" w:type="dxa"/>
            <w:gridSpan w:val="2"/>
            <w:tcBorders>
              <w:top w:val="nil"/>
              <w:left w:val="nil"/>
              <w:bottom w:val="nil"/>
              <w:right w:val="nil"/>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1,306</w:t>
            </w:r>
          </w:p>
        </w:tc>
      </w:tr>
      <w:tr w:rsidR="00E2222E" w:rsidRPr="00B26462" w:rsidTr="00485B39">
        <w:trPr>
          <w:trHeight w:val="307"/>
        </w:trPr>
        <w:tc>
          <w:tcPr>
            <w:tcW w:w="1293" w:type="dxa"/>
            <w:tcBorders>
              <w:top w:val="nil"/>
              <w:left w:val="nil"/>
              <w:bottom w:val="nil"/>
              <w:right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Agreste</w:t>
            </w:r>
          </w:p>
        </w:tc>
        <w:tc>
          <w:tcPr>
            <w:tcW w:w="649"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0,077</w:t>
            </w:r>
          </w:p>
        </w:tc>
        <w:tc>
          <w:tcPr>
            <w:tcW w:w="713"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1,015</w:t>
            </w:r>
          </w:p>
        </w:tc>
        <w:tc>
          <w:tcPr>
            <w:tcW w:w="623"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0,084</w:t>
            </w:r>
          </w:p>
        </w:tc>
        <w:tc>
          <w:tcPr>
            <w:tcW w:w="70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1,006</w:t>
            </w:r>
          </w:p>
        </w:tc>
        <w:tc>
          <w:tcPr>
            <w:tcW w:w="651"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0,087</w:t>
            </w:r>
          </w:p>
        </w:tc>
        <w:tc>
          <w:tcPr>
            <w:tcW w:w="766"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0,985</w:t>
            </w:r>
          </w:p>
        </w:tc>
        <w:tc>
          <w:tcPr>
            <w:tcW w:w="622"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0,094</w:t>
            </w:r>
          </w:p>
        </w:tc>
        <w:tc>
          <w:tcPr>
            <w:tcW w:w="654"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1,004</w:t>
            </w:r>
          </w:p>
        </w:tc>
        <w:tc>
          <w:tcPr>
            <w:tcW w:w="61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0,085</w:t>
            </w:r>
          </w:p>
        </w:tc>
        <w:tc>
          <w:tcPr>
            <w:tcW w:w="65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1,043</w:t>
            </w:r>
          </w:p>
        </w:tc>
        <w:tc>
          <w:tcPr>
            <w:tcW w:w="60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0,087</w:t>
            </w:r>
          </w:p>
        </w:tc>
        <w:tc>
          <w:tcPr>
            <w:tcW w:w="641" w:type="dxa"/>
            <w:gridSpan w:val="2"/>
            <w:tcBorders>
              <w:top w:val="nil"/>
              <w:left w:val="nil"/>
              <w:bottom w:val="nil"/>
              <w:right w:val="nil"/>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0,938</w:t>
            </w:r>
          </w:p>
        </w:tc>
      </w:tr>
      <w:tr w:rsidR="00E2222E" w:rsidRPr="00B26462" w:rsidTr="00485B39">
        <w:trPr>
          <w:trHeight w:val="292"/>
        </w:trPr>
        <w:tc>
          <w:tcPr>
            <w:tcW w:w="1293" w:type="dxa"/>
            <w:tcBorders>
              <w:top w:val="nil"/>
              <w:left w:val="nil"/>
              <w:bottom w:val="nil"/>
              <w:right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Zona da Mata</w:t>
            </w:r>
          </w:p>
        </w:tc>
        <w:tc>
          <w:tcPr>
            <w:tcW w:w="649"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0,077</w:t>
            </w:r>
          </w:p>
        </w:tc>
        <w:tc>
          <w:tcPr>
            <w:tcW w:w="713"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0,834</w:t>
            </w:r>
          </w:p>
        </w:tc>
        <w:tc>
          <w:tcPr>
            <w:tcW w:w="623"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0,079</w:t>
            </w:r>
          </w:p>
        </w:tc>
        <w:tc>
          <w:tcPr>
            <w:tcW w:w="70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0,835</w:t>
            </w:r>
          </w:p>
        </w:tc>
        <w:tc>
          <w:tcPr>
            <w:tcW w:w="651"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0,066</w:t>
            </w:r>
          </w:p>
        </w:tc>
        <w:tc>
          <w:tcPr>
            <w:tcW w:w="766"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0,721</w:t>
            </w:r>
          </w:p>
        </w:tc>
        <w:tc>
          <w:tcPr>
            <w:tcW w:w="622"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0,070</w:t>
            </w:r>
          </w:p>
        </w:tc>
        <w:tc>
          <w:tcPr>
            <w:tcW w:w="654"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0,733</w:t>
            </w:r>
          </w:p>
        </w:tc>
        <w:tc>
          <w:tcPr>
            <w:tcW w:w="61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0,079</w:t>
            </w:r>
          </w:p>
        </w:tc>
        <w:tc>
          <w:tcPr>
            <w:tcW w:w="65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0,725</w:t>
            </w:r>
          </w:p>
        </w:tc>
        <w:tc>
          <w:tcPr>
            <w:tcW w:w="60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0,102</w:t>
            </w:r>
          </w:p>
        </w:tc>
        <w:tc>
          <w:tcPr>
            <w:tcW w:w="641" w:type="dxa"/>
            <w:gridSpan w:val="2"/>
            <w:tcBorders>
              <w:top w:val="nil"/>
              <w:left w:val="nil"/>
              <w:bottom w:val="nil"/>
              <w:right w:val="nil"/>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0,685</w:t>
            </w:r>
          </w:p>
        </w:tc>
      </w:tr>
      <w:tr w:rsidR="00E2222E" w:rsidRPr="00B26462" w:rsidTr="00485B39">
        <w:trPr>
          <w:trHeight w:val="307"/>
        </w:trPr>
        <w:tc>
          <w:tcPr>
            <w:tcW w:w="1293" w:type="dxa"/>
            <w:tcBorders>
              <w:top w:val="nil"/>
              <w:left w:val="nil"/>
              <w:bottom w:val="nil"/>
              <w:right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Metropolitana</w:t>
            </w:r>
          </w:p>
        </w:tc>
        <w:tc>
          <w:tcPr>
            <w:tcW w:w="649"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0,538</w:t>
            </w:r>
          </w:p>
        </w:tc>
        <w:tc>
          <w:tcPr>
            <w:tcW w:w="713"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3,224</w:t>
            </w:r>
          </w:p>
        </w:tc>
        <w:tc>
          <w:tcPr>
            <w:tcW w:w="623"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0,649</w:t>
            </w:r>
          </w:p>
        </w:tc>
        <w:tc>
          <w:tcPr>
            <w:tcW w:w="70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3,214</w:t>
            </w:r>
          </w:p>
        </w:tc>
        <w:tc>
          <w:tcPr>
            <w:tcW w:w="651"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0,750</w:t>
            </w:r>
          </w:p>
        </w:tc>
        <w:tc>
          <w:tcPr>
            <w:tcW w:w="766"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3,246</w:t>
            </w:r>
          </w:p>
        </w:tc>
        <w:tc>
          <w:tcPr>
            <w:tcW w:w="622"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0,839</w:t>
            </w:r>
          </w:p>
        </w:tc>
        <w:tc>
          <w:tcPr>
            <w:tcW w:w="654"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3,302</w:t>
            </w:r>
          </w:p>
        </w:tc>
        <w:tc>
          <w:tcPr>
            <w:tcW w:w="61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0,953</w:t>
            </w:r>
          </w:p>
        </w:tc>
        <w:tc>
          <w:tcPr>
            <w:tcW w:w="659" w:type="dxa"/>
            <w:tcBorders>
              <w:top w:val="nil"/>
              <w:left w:val="nil"/>
              <w:bottom w:val="nil"/>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3,271</w:t>
            </w:r>
          </w:p>
        </w:tc>
        <w:tc>
          <w:tcPr>
            <w:tcW w:w="607" w:type="dxa"/>
            <w:tcBorders>
              <w:top w:val="nil"/>
              <w:left w:val="single" w:sz="4" w:space="0" w:color="auto"/>
              <w:bottom w:val="nil"/>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0,978</w:t>
            </w:r>
          </w:p>
        </w:tc>
        <w:tc>
          <w:tcPr>
            <w:tcW w:w="641" w:type="dxa"/>
            <w:gridSpan w:val="2"/>
            <w:tcBorders>
              <w:top w:val="nil"/>
              <w:left w:val="nil"/>
              <w:bottom w:val="nil"/>
              <w:right w:val="nil"/>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3,292</w:t>
            </w:r>
          </w:p>
        </w:tc>
      </w:tr>
      <w:tr w:rsidR="00E2222E" w:rsidRPr="00B26462" w:rsidTr="00485B39">
        <w:trPr>
          <w:trHeight w:val="307"/>
        </w:trPr>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B759F5" w:rsidRPr="00EC174F" w:rsidRDefault="00B759F5" w:rsidP="0012133B">
            <w:pPr>
              <w:spacing w:after="0" w:line="240" w:lineRule="auto"/>
              <w:rPr>
                <w:rFonts w:ascii="Times New Roman" w:eastAsia="Times New Roman" w:hAnsi="Times New Roman" w:cs="Times New Roman"/>
                <w:b/>
                <w:color w:val="000000"/>
                <w:sz w:val="18"/>
                <w:szCs w:val="18"/>
                <w:lang w:eastAsia="pt-BR"/>
              </w:rPr>
            </w:pPr>
            <w:r w:rsidRPr="00EC174F">
              <w:rPr>
                <w:rFonts w:ascii="Times New Roman" w:eastAsia="Times New Roman" w:hAnsi="Times New Roman" w:cs="Times New Roman"/>
                <w:b/>
                <w:color w:val="000000"/>
                <w:sz w:val="18"/>
                <w:szCs w:val="18"/>
                <w:lang w:eastAsia="pt-BR"/>
              </w:rPr>
              <w:t>Pernambuco</w:t>
            </w:r>
          </w:p>
        </w:tc>
        <w:tc>
          <w:tcPr>
            <w:tcW w:w="649" w:type="dxa"/>
            <w:tcBorders>
              <w:top w:val="single" w:sz="4" w:space="0" w:color="auto"/>
              <w:left w:val="single" w:sz="4" w:space="0" w:color="auto"/>
              <w:bottom w:val="single" w:sz="4" w:space="0" w:color="auto"/>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0,564</w:t>
            </w:r>
          </w:p>
        </w:tc>
        <w:tc>
          <w:tcPr>
            <w:tcW w:w="713" w:type="dxa"/>
            <w:tcBorders>
              <w:top w:val="single" w:sz="4" w:space="0" w:color="auto"/>
              <w:left w:val="nil"/>
              <w:bottom w:val="single" w:sz="4" w:space="0" w:color="auto"/>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1,742</w:t>
            </w:r>
          </w:p>
        </w:tc>
        <w:tc>
          <w:tcPr>
            <w:tcW w:w="623" w:type="dxa"/>
            <w:tcBorders>
              <w:top w:val="single" w:sz="4" w:space="0" w:color="auto"/>
              <w:left w:val="single" w:sz="4" w:space="0" w:color="auto"/>
              <w:bottom w:val="single" w:sz="4" w:space="0" w:color="auto"/>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0,639</w:t>
            </w:r>
          </w:p>
        </w:tc>
        <w:tc>
          <w:tcPr>
            <w:tcW w:w="709" w:type="dxa"/>
            <w:tcBorders>
              <w:top w:val="single" w:sz="4" w:space="0" w:color="auto"/>
              <w:left w:val="nil"/>
              <w:bottom w:val="single" w:sz="4" w:space="0" w:color="auto"/>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1,676</w:t>
            </w:r>
          </w:p>
        </w:tc>
        <w:tc>
          <w:tcPr>
            <w:tcW w:w="651" w:type="dxa"/>
            <w:tcBorders>
              <w:top w:val="single" w:sz="4" w:space="0" w:color="auto"/>
              <w:left w:val="single" w:sz="4" w:space="0" w:color="auto"/>
              <w:bottom w:val="single" w:sz="4" w:space="0" w:color="auto"/>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0,681</w:t>
            </w:r>
          </w:p>
        </w:tc>
        <w:tc>
          <w:tcPr>
            <w:tcW w:w="766" w:type="dxa"/>
            <w:tcBorders>
              <w:top w:val="single" w:sz="4" w:space="0" w:color="auto"/>
              <w:left w:val="nil"/>
              <w:bottom w:val="single" w:sz="4" w:space="0" w:color="auto"/>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1,726</w:t>
            </w:r>
          </w:p>
        </w:tc>
        <w:tc>
          <w:tcPr>
            <w:tcW w:w="622" w:type="dxa"/>
            <w:tcBorders>
              <w:top w:val="single" w:sz="4" w:space="0" w:color="auto"/>
              <w:left w:val="single" w:sz="4" w:space="0" w:color="auto"/>
              <w:bottom w:val="single" w:sz="4" w:space="0" w:color="auto"/>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0,742</w:t>
            </w:r>
          </w:p>
        </w:tc>
        <w:tc>
          <w:tcPr>
            <w:tcW w:w="654" w:type="dxa"/>
            <w:tcBorders>
              <w:top w:val="single" w:sz="4" w:space="0" w:color="auto"/>
              <w:left w:val="nil"/>
              <w:bottom w:val="single" w:sz="4" w:space="0" w:color="auto"/>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1,689</w:t>
            </w:r>
          </w:p>
        </w:tc>
        <w:tc>
          <w:tcPr>
            <w:tcW w:w="617" w:type="dxa"/>
            <w:tcBorders>
              <w:top w:val="single" w:sz="4" w:space="0" w:color="auto"/>
              <w:left w:val="single" w:sz="4" w:space="0" w:color="auto"/>
              <w:bottom w:val="single" w:sz="4" w:space="0" w:color="auto"/>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0,812</w:t>
            </w:r>
          </w:p>
        </w:tc>
        <w:tc>
          <w:tcPr>
            <w:tcW w:w="659" w:type="dxa"/>
            <w:tcBorders>
              <w:top w:val="single" w:sz="4" w:space="0" w:color="auto"/>
              <w:left w:val="nil"/>
              <w:bottom w:val="single" w:sz="4" w:space="0" w:color="auto"/>
              <w:right w:val="single" w:sz="4" w:space="0" w:color="auto"/>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1,600</w:t>
            </w:r>
          </w:p>
        </w:tc>
        <w:tc>
          <w:tcPr>
            <w:tcW w:w="607" w:type="dxa"/>
            <w:tcBorders>
              <w:top w:val="single" w:sz="4" w:space="0" w:color="auto"/>
              <w:left w:val="single" w:sz="4" w:space="0" w:color="auto"/>
              <w:bottom w:val="single" w:sz="4" w:space="0" w:color="auto"/>
              <w:right w:val="nil"/>
            </w:tcBorders>
            <w:shd w:val="clear" w:color="auto" w:fill="auto"/>
            <w:noWrap/>
            <w:vAlign w:val="center"/>
            <w:hideMark/>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0,838</w:t>
            </w:r>
          </w:p>
        </w:tc>
        <w:tc>
          <w:tcPr>
            <w:tcW w:w="641" w:type="dxa"/>
            <w:gridSpan w:val="2"/>
            <w:tcBorders>
              <w:top w:val="single" w:sz="4" w:space="0" w:color="auto"/>
              <w:left w:val="nil"/>
              <w:bottom w:val="single" w:sz="4" w:space="0" w:color="auto"/>
              <w:right w:val="nil"/>
            </w:tcBorders>
            <w:vAlign w:val="center"/>
          </w:tcPr>
          <w:p w:rsidR="00B759F5" w:rsidRPr="00EC174F" w:rsidRDefault="00B759F5" w:rsidP="0012133B">
            <w:pPr>
              <w:spacing w:after="0" w:line="240" w:lineRule="auto"/>
              <w:jc w:val="right"/>
              <w:rPr>
                <w:rFonts w:ascii="Times New Roman" w:hAnsi="Times New Roman" w:cs="Times New Roman"/>
                <w:color w:val="000000"/>
                <w:sz w:val="18"/>
                <w:szCs w:val="18"/>
              </w:rPr>
            </w:pPr>
            <w:r w:rsidRPr="00EC174F">
              <w:rPr>
                <w:rFonts w:ascii="Times New Roman" w:hAnsi="Times New Roman" w:cs="Times New Roman"/>
                <w:color w:val="000000"/>
                <w:sz w:val="18"/>
                <w:szCs w:val="18"/>
              </w:rPr>
              <w:t>1,532</w:t>
            </w:r>
          </w:p>
        </w:tc>
      </w:tr>
    </w:tbl>
    <w:p w:rsidR="00834206" w:rsidRPr="00834206" w:rsidRDefault="00834206" w:rsidP="00834206">
      <w:pPr>
        <w:spacing w:line="240" w:lineRule="auto"/>
        <w:jc w:val="center"/>
        <w:rPr>
          <w:rStyle w:val="Hyperlink"/>
          <w:rFonts w:ascii="Times New Roman" w:hAnsi="Times New Roman" w:cs="Times New Roman"/>
          <w:color w:val="FF0000"/>
          <w:sz w:val="24"/>
          <w:szCs w:val="24"/>
          <w:u w:val="none"/>
        </w:rPr>
      </w:pPr>
      <w:r w:rsidRPr="00834206">
        <w:rPr>
          <w:rFonts w:ascii="Times New Roman" w:eastAsia="Times New Roman" w:hAnsi="Times New Roman" w:cs="Times New Roman"/>
          <w:bCs/>
          <w:color w:val="000000"/>
          <w:sz w:val="20"/>
          <w:szCs w:val="20"/>
          <w:lang w:eastAsia="pt-BR"/>
        </w:rPr>
        <w:t>Fonte:</w:t>
      </w:r>
      <w:r w:rsidRPr="00834206">
        <w:rPr>
          <w:rFonts w:ascii="Times New Roman" w:eastAsia="Times New Roman" w:hAnsi="Times New Roman" w:cs="Times New Roman"/>
          <w:color w:val="000000"/>
          <w:sz w:val="20"/>
          <w:szCs w:val="20"/>
          <w:lang w:eastAsia="pt-BR"/>
        </w:rPr>
        <w:t xml:space="preserve"> Elaboração Própria: IBGE - PIB dos Municípios/ RAIZ/CAGED /SUFRAMA, 2002-2012.</w:t>
      </w:r>
    </w:p>
    <w:p w:rsidR="00834206" w:rsidRDefault="00834206" w:rsidP="00EA3718">
      <w:pPr>
        <w:spacing w:line="240" w:lineRule="auto"/>
        <w:ind w:firstLine="709"/>
        <w:jc w:val="both"/>
        <w:rPr>
          <w:rStyle w:val="Hyperlink"/>
          <w:rFonts w:ascii="Times New Roman" w:hAnsi="Times New Roman" w:cs="Times New Roman"/>
          <w:color w:val="auto"/>
          <w:sz w:val="24"/>
          <w:szCs w:val="24"/>
          <w:u w:val="none"/>
        </w:rPr>
      </w:pPr>
    </w:p>
    <w:p w:rsidR="00F555DA" w:rsidRDefault="00422436" w:rsidP="00EA3718">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 redução do índice na mesorregião</w:t>
      </w:r>
      <w:r w:rsidR="00EA3718" w:rsidRPr="00862FD4">
        <w:rPr>
          <w:rStyle w:val="Hyperlink"/>
          <w:rFonts w:ascii="Times New Roman" w:hAnsi="Times New Roman" w:cs="Times New Roman"/>
          <w:color w:val="auto"/>
          <w:sz w:val="24"/>
          <w:szCs w:val="24"/>
          <w:u w:val="none"/>
        </w:rPr>
        <w:t xml:space="preserve"> do São Francisco </w:t>
      </w:r>
      <w:r>
        <w:rPr>
          <w:rStyle w:val="Hyperlink"/>
          <w:rFonts w:ascii="Times New Roman" w:hAnsi="Times New Roman" w:cs="Times New Roman"/>
          <w:color w:val="auto"/>
          <w:sz w:val="24"/>
          <w:szCs w:val="24"/>
          <w:u w:val="none"/>
        </w:rPr>
        <w:t xml:space="preserve">mostra a </w:t>
      </w:r>
      <w:r w:rsidR="00EA3718" w:rsidRPr="00862FD4">
        <w:rPr>
          <w:rStyle w:val="Hyperlink"/>
          <w:rFonts w:ascii="Times New Roman" w:hAnsi="Times New Roman" w:cs="Times New Roman"/>
          <w:color w:val="auto"/>
          <w:sz w:val="24"/>
          <w:szCs w:val="24"/>
          <w:u w:val="none"/>
        </w:rPr>
        <w:t xml:space="preserve">entrada de investimentos pela busca de uma maior competitividade nos últimos anos em Pernambuco, </w:t>
      </w:r>
      <w:r w:rsidR="00F555DA">
        <w:rPr>
          <w:rStyle w:val="Hyperlink"/>
          <w:rFonts w:ascii="Times New Roman" w:hAnsi="Times New Roman" w:cs="Times New Roman"/>
          <w:color w:val="auto"/>
          <w:sz w:val="24"/>
          <w:szCs w:val="24"/>
          <w:u w:val="none"/>
        </w:rPr>
        <w:t>segundo</w:t>
      </w:r>
      <w:r w:rsidR="00EA3718" w:rsidRPr="00862FD4">
        <w:rPr>
          <w:rStyle w:val="Hyperlink"/>
          <w:rFonts w:ascii="Times New Roman" w:hAnsi="Times New Roman" w:cs="Times New Roman"/>
          <w:color w:val="auto"/>
          <w:sz w:val="24"/>
          <w:szCs w:val="24"/>
          <w:u w:val="none"/>
        </w:rPr>
        <w:t xml:space="preserve"> Lima</w:t>
      </w:r>
      <w:r w:rsidR="0073573D">
        <w:rPr>
          <w:rStyle w:val="Hyperlink"/>
          <w:rFonts w:ascii="Times New Roman" w:hAnsi="Times New Roman" w:cs="Times New Roman"/>
          <w:color w:val="auto"/>
          <w:sz w:val="24"/>
          <w:szCs w:val="24"/>
          <w:u w:val="none"/>
        </w:rPr>
        <w:t xml:space="preserve">, Sicsú e Padilha (2007), </w:t>
      </w:r>
      <w:r w:rsidR="00EA3718" w:rsidRPr="00862FD4">
        <w:rPr>
          <w:rStyle w:val="Hyperlink"/>
          <w:rFonts w:ascii="Times New Roman" w:hAnsi="Times New Roman" w:cs="Times New Roman"/>
          <w:color w:val="auto"/>
          <w:sz w:val="24"/>
          <w:szCs w:val="24"/>
          <w:u w:val="none"/>
        </w:rPr>
        <w:t xml:space="preserve"> </w:t>
      </w:r>
      <w:r w:rsidR="00F555DA">
        <w:rPr>
          <w:rStyle w:val="Hyperlink"/>
          <w:rFonts w:ascii="Times New Roman" w:hAnsi="Times New Roman" w:cs="Times New Roman"/>
          <w:color w:val="auto"/>
          <w:sz w:val="24"/>
          <w:szCs w:val="24"/>
          <w:u w:val="none"/>
        </w:rPr>
        <w:t>os cultivos da manga e da uva no sertão do estado representam</w:t>
      </w:r>
      <w:r w:rsidR="00EA3718" w:rsidRPr="00862FD4">
        <w:rPr>
          <w:rStyle w:val="Hyperlink"/>
          <w:rFonts w:ascii="Times New Roman" w:hAnsi="Times New Roman" w:cs="Times New Roman"/>
          <w:color w:val="auto"/>
          <w:sz w:val="24"/>
          <w:szCs w:val="24"/>
          <w:u w:val="none"/>
        </w:rPr>
        <w:t xml:space="preserve"> juntas cerca de 15% da produção agrícola</w:t>
      </w:r>
      <w:r w:rsidR="00F555DA">
        <w:rPr>
          <w:rStyle w:val="Hyperlink"/>
          <w:rFonts w:ascii="Times New Roman" w:hAnsi="Times New Roman" w:cs="Times New Roman"/>
          <w:color w:val="auto"/>
          <w:sz w:val="24"/>
          <w:szCs w:val="24"/>
          <w:u w:val="none"/>
        </w:rPr>
        <w:t>, sendo que</w:t>
      </w:r>
      <w:r w:rsidR="00EA3718" w:rsidRPr="00862FD4">
        <w:rPr>
          <w:rStyle w:val="Hyperlink"/>
          <w:rFonts w:ascii="Times New Roman" w:hAnsi="Times New Roman" w:cs="Times New Roman"/>
          <w:color w:val="auto"/>
          <w:sz w:val="24"/>
          <w:szCs w:val="24"/>
          <w:u w:val="none"/>
        </w:rPr>
        <w:t xml:space="preserve"> estas culturas apresentam um direcionamento para o mercado externo.</w:t>
      </w:r>
      <w:r w:rsidR="00F555DA">
        <w:rPr>
          <w:rStyle w:val="Hyperlink"/>
          <w:rFonts w:ascii="Times New Roman" w:hAnsi="Times New Roman" w:cs="Times New Roman"/>
          <w:color w:val="auto"/>
          <w:sz w:val="24"/>
          <w:szCs w:val="24"/>
          <w:u w:val="none"/>
        </w:rPr>
        <w:t xml:space="preserve"> </w:t>
      </w:r>
    </w:p>
    <w:p w:rsidR="00EA3718" w:rsidRDefault="00F555DA" w:rsidP="00F555DA">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As outras mesorregiões apresentaram crescimento na desigualdade pelo índice, tendo o maior crescimento a região M</w:t>
      </w:r>
      <w:r w:rsidRPr="00AF4353">
        <w:rPr>
          <w:rStyle w:val="Hyperlink"/>
          <w:rFonts w:ascii="Times New Roman" w:hAnsi="Times New Roman" w:cs="Times New Roman"/>
          <w:color w:val="auto"/>
          <w:sz w:val="24"/>
          <w:szCs w:val="24"/>
          <w:u w:val="none"/>
        </w:rPr>
        <w:t xml:space="preserve">etropolitana com </w:t>
      </w:r>
      <w:r>
        <w:rPr>
          <w:rStyle w:val="Hyperlink"/>
          <w:rFonts w:ascii="Times New Roman" w:hAnsi="Times New Roman" w:cs="Times New Roman"/>
          <w:color w:val="auto"/>
          <w:sz w:val="24"/>
          <w:szCs w:val="24"/>
          <w:u w:val="none"/>
        </w:rPr>
        <w:t>va</w:t>
      </w:r>
      <w:r w:rsidRPr="00AF4353">
        <w:rPr>
          <w:rStyle w:val="Hyperlink"/>
          <w:rFonts w:ascii="Times New Roman" w:hAnsi="Times New Roman" w:cs="Times New Roman"/>
          <w:color w:val="auto"/>
          <w:sz w:val="24"/>
          <w:szCs w:val="24"/>
          <w:u w:val="none"/>
        </w:rPr>
        <w:t>riação de 10</w:t>
      </w:r>
      <w:r>
        <w:rPr>
          <w:rStyle w:val="Hyperlink"/>
          <w:rFonts w:ascii="Times New Roman" w:hAnsi="Times New Roman" w:cs="Times New Roman"/>
          <w:color w:val="auto"/>
          <w:sz w:val="24"/>
          <w:szCs w:val="24"/>
          <w:u w:val="none"/>
        </w:rPr>
        <w:t>3%</w:t>
      </w:r>
      <w:r w:rsidRPr="00862FD4">
        <w:rPr>
          <w:rStyle w:val="Hyperlink"/>
          <w:rFonts w:ascii="Times New Roman" w:hAnsi="Times New Roman" w:cs="Times New Roman"/>
          <w:color w:val="auto"/>
          <w:sz w:val="24"/>
          <w:szCs w:val="24"/>
          <w:u w:val="none"/>
        </w:rPr>
        <w:t xml:space="preserve">. </w:t>
      </w:r>
      <w:r w:rsidR="00EA3718" w:rsidRPr="00862FD4">
        <w:rPr>
          <w:rStyle w:val="Hyperlink"/>
          <w:rFonts w:ascii="Times New Roman" w:hAnsi="Times New Roman" w:cs="Times New Roman"/>
          <w:color w:val="auto"/>
          <w:sz w:val="24"/>
          <w:szCs w:val="24"/>
          <w:u w:val="none"/>
        </w:rPr>
        <w:t xml:space="preserve">Uma </w:t>
      </w:r>
      <w:r w:rsidR="00365F4A">
        <w:rPr>
          <w:rStyle w:val="Hyperlink"/>
          <w:rFonts w:ascii="Times New Roman" w:hAnsi="Times New Roman" w:cs="Times New Roman"/>
          <w:color w:val="auto"/>
          <w:sz w:val="24"/>
          <w:szCs w:val="24"/>
          <w:u w:val="none"/>
        </w:rPr>
        <w:t xml:space="preserve">das </w:t>
      </w:r>
      <w:r w:rsidR="00365F4A" w:rsidRPr="00862FD4">
        <w:rPr>
          <w:rStyle w:val="Hyperlink"/>
          <w:rFonts w:ascii="Times New Roman" w:hAnsi="Times New Roman" w:cs="Times New Roman"/>
          <w:color w:val="auto"/>
          <w:sz w:val="24"/>
          <w:szCs w:val="24"/>
          <w:u w:val="none"/>
        </w:rPr>
        <w:t>possíveis</w:t>
      </w:r>
      <w:r w:rsidR="00EA3718" w:rsidRPr="00862FD4">
        <w:rPr>
          <w:rStyle w:val="Hyperlink"/>
          <w:rFonts w:ascii="Times New Roman" w:hAnsi="Times New Roman" w:cs="Times New Roman"/>
          <w:color w:val="auto"/>
          <w:sz w:val="24"/>
          <w:szCs w:val="24"/>
          <w:u w:val="none"/>
        </w:rPr>
        <w:t xml:space="preserve"> causa</w:t>
      </w:r>
      <w:r w:rsidR="00365F4A">
        <w:rPr>
          <w:rStyle w:val="Hyperlink"/>
          <w:rFonts w:ascii="Times New Roman" w:hAnsi="Times New Roman" w:cs="Times New Roman"/>
          <w:color w:val="auto"/>
          <w:sz w:val="24"/>
          <w:szCs w:val="24"/>
          <w:u w:val="none"/>
        </w:rPr>
        <w:t>s</w:t>
      </w:r>
      <w:r w:rsidR="00EA3718" w:rsidRPr="00862FD4">
        <w:rPr>
          <w:rStyle w:val="Hyperlink"/>
          <w:rFonts w:ascii="Times New Roman" w:hAnsi="Times New Roman" w:cs="Times New Roman"/>
          <w:color w:val="auto"/>
          <w:sz w:val="24"/>
          <w:szCs w:val="24"/>
          <w:u w:val="none"/>
        </w:rPr>
        <w:t xml:space="preserve"> para </w:t>
      </w:r>
      <w:r w:rsidR="00F505D3">
        <w:rPr>
          <w:rStyle w:val="Hyperlink"/>
          <w:rFonts w:ascii="Times New Roman" w:hAnsi="Times New Roman" w:cs="Times New Roman"/>
          <w:color w:val="auto"/>
          <w:sz w:val="24"/>
          <w:szCs w:val="24"/>
          <w:u w:val="none"/>
        </w:rPr>
        <w:t xml:space="preserve">tal concentração de renda </w:t>
      </w:r>
      <w:r w:rsidR="00EA3718" w:rsidRPr="00862FD4">
        <w:rPr>
          <w:rStyle w:val="Hyperlink"/>
          <w:rFonts w:ascii="Times New Roman" w:hAnsi="Times New Roman" w:cs="Times New Roman"/>
          <w:color w:val="auto"/>
          <w:sz w:val="24"/>
          <w:szCs w:val="24"/>
          <w:u w:val="none"/>
        </w:rPr>
        <w:t xml:space="preserve">se </w:t>
      </w:r>
      <w:r w:rsidR="00365F4A">
        <w:rPr>
          <w:rStyle w:val="Hyperlink"/>
          <w:rFonts w:ascii="Times New Roman" w:hAnsi="Times New Roman" w:cs="Times New Roman"/>
          <w:color w:val="auto"/>
          <w:sz w:val="24"/>
          <w:szCs w:val="24"/>
          <w:u w:val="none"/>
        </w:rPr>
        <w:t>deu</w:t>
      </w:r>
      <w:r w:rsidR="00EA3718" w:rsidRPr="00862FD4">
        <w:rPr>
          <w:rStyle w:val="Hyperlink"/>
          <w:rFonts w:ascii="Times New Roman" w:hAnsi="Times New Roman" w:cs="Times New Roman"/>
          <w:color w:val="auto"/>
          <w:sz w:val="24"/>
          <w:szCs w:val="24"/>
          <w:u w:val="none"/>
        </w:rPr>
        <w:t xml:space="preserve"> ao peso da perca de investimentos na </w:t>
      </w:r>
      <w:r w:rsidRPr="00862FD4">
        <w:rPr>
          <w:rStyle w:val="Hyperlink"/>
          <w:rFonts w:ascii="Times New Roman" w:hAnsi="Times New Roman" w:cs="Times New Roman"/>
          <w:color w:val="auto"/>
          <w:sz w:val="24"/>
          <w:szCs w:val="24"/>
          <w:u w:val="none"/>
        </w:rPr>
        <w:t>indústria</w:t>
      </w:r>
      <w:r w:rsidR="00EA3718" w:rsidRPr="00862FD4">
        <w:rPr>
          <w:rStyle w:val="Hyperlink"/>
          <w:rFonts w:ascii="Times New Roman" w:hAnsi="Times New Roman" w:cs="Times New Roman"/>
          <w:color w:val="auto"/>
          <w:sz w:val="24"/>
          <w:szCs w:val="24"/>
          <w:u w:val="none"/>
        </w:rPr>
        <w:t xml:space="preserve"> de açúcar que não foi compensada com a </w:t>
      </w:r>
      <w:r w:rsidR="00365F4A">
        <w:rPr>
          <w:rStyle w:val="Hyperlink"/>
          <w:rFonts w:ascii="Times New Roman" w:hAnsi="Times New Roman" w:cs="Times New Roman"/>
          <w:color w:val="auto"/>
          <w:sz w:val="24"/>
          <w:szCs w:val="24"/>
          <w:u w:val="none"/>
        </w:rPr>
        <w:t xml:space="preserve">chegada do porto de Suape. </w:t>
      </w:r>
    </w:p>
    <w:p w:rsidR="00F41A50" w:rsidRDefault="008E30D7" w:rsidP="00F41A50">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Essa desigualdade também pode ser analisada a partir da renda média, em que o</w:t>
      </w:r>
      <w:r w:rsidR="00F41A50" w:rsidRPr="00510111">
        <w:rPr>
          <w:rStyle w:val="Hyperlink"/>
          <w:rFonts w:ascii="Times New Roman" w:hAnsi="Times New Roman" w:cs="Times New Roman"/>
          <w:color w:val="auto"/>
          <w:sz w:val="24"/>
          <w:szCs w:val="24"/>
          <w:u w:val="none"/>
        </w:rPr>
        <w:t xml:space="preserve"> índice de desigualdade captado pelo Theil-T mostra que houve redução na disparidade, tendo uma possível explicação, e afirmando o que foi dito anteriormente, uma maior entrada de investimentos no estado distribuiu melhor a renda da população </w:t>
      </w:r>
      <w:r>
        <w:rPr>
          <w:rStyle w:val="Hyperlink"/>
          <w:rFonts w:ascii="Times New Roman" w:hAnsi="Times New Roman" w:cs="Times New Roman"/>
          <w:color w:val="auto"/>
          <w:sz w:val="24"/>
          <w:szCs w:val="24"/>
          <w:u w:val="none"/>
        </w:rPr>
        <w:t xml:space="preserve">com destaque </w:t>
      </w:r>
      <w:r w:rsidR="00510111" w:rsidRPr="00510111">
        <w:rPr>
          <w:rStyle w:val="Hyperlink"/>
          <w:rFonts w:ascii="Times New Roman" w:hAnsi="Times New Roman" w:cs="Times New Roman"/>
          <w:color w:val="auto"/>
          <w:sz w:val="24"/>
          <w:szCs w:val="24"/>
          <w:u w:val="none"/>
        </w:rPr>
        <w:t>para o Sertão, São Fran</w:t>
      </w:r>
      <w:r w:rsidR="00B923B1">
        <w:rPr>
          <w:rStyle w:val="Hyperlink"/>
          <w:rFonts w:ascii="Times New Roman" w:hAnsi="Times New Roman" w:cs="Times New Roman"/>
          <w:color w:val="auto"/>
          <w:sz w:val="24"/>
          <w:szCs w:val="24"/>
          <w:u w:val="none"/>
        </w:rPr>
        <w:t>cisco, Zona da Mata e Agreste, que tem seu po</w:t>
      </w:r>
      <w:r w:rsidR="00B923B1" w:rsidRPr="00862FD4">
        <w:rPr>
          <w:rStyle w:val="Hyperlink"/>
          <w:rFonts w:ascii="Times New Roman" w:hAnsi="Times New Roman" w:cs="Times New Roman"/>
          <w:color w:val="auto"/>
          <w:sz w:val="24"/>
          <w:szCs w:val="24"/>
          <w:u w:val="none"/>
        </w:rPr>
        <w:t xml:space="preserve">lo de confecção, </w:t>
      </w:r>
      <w:r w:rsidR="00B923B1">
        <w:rPr>
          <w:rStyle w:val="Hyperlink"/>
          <w:rFonts w:ascii="Times New Roman" w:hAnsi="Times New Roman" w:cs="Times New Roman"/>
          <w:color w:val="auto"/>
          <w:sz w:val="24"/>
          <w:szCs w:val="24"/>
          <w:u w:val="none"/>
        </w:rPr>
        <w:t xml:space="preserve">composto por </w:t>
      </w:r>
      <w:r w:rsidR="00B923B1" w:rsidRPr="00862FD4">
        <w:rPr>
          <w:rStyle w:val="Hyperlink"/>
          <w:rFonts w:ascii="Times New Roman" w:hAnsi="Times New Roman" w:cs="Times New Roman"/>
          <w:color w:val="auto"/>
          <w:sz w:val="24"/>
          <w:szCs w:val="24"/>
          <w:u w:val="none"/>
        </w:rPr>
        <w:t>Caruaru</w:t>
      </w:r>
      <w:r w:rsidR="00B923B1">
        <w:rPr>
          <w:rStyle w:val="Hyperlink"/>
          <w:rFonts w:ascii="Times New Roman" w:hAnsi="Times New Roman" w:cs="Times New Roman"/>
          <w:color w:val="auto"/>
          <w:sz w:val="24"/>
          <w:szCs w:val="24"/>
          <w:u w:val="none"/>
        </w:rPr>
        <w:t xml:space="preserve">, </w:t>
      </w:r>
      <w:r w:rsidR="00B923B1" w:rsidRPr="00862FD4">
        <w:rPr>
          <w:rStyle w:val="Hyperlink"/>
          <w:rFonts w:ascii="Times New Roman" w:hAnsi="Times New Roman" w:cs="Times New Roman"/>
          <w:color w:val="auto"/>
          <w:sz w:val="24"/>
          <w:szCs w:val="24"/>
          <w:u w:val="none"/>
        </w:rPr>
        <w:t>Santa Cruz do Capibaribe</w:t>
      </w:r>
      <w:r w:rsidR="00B923B1">
        <w:rPr>
          <w:rStyle w:val="Hyperlink"/>
          <w:rFonts w:ascii="Times New Roman" w:hAnsi="Times New Roman" w:cs="Times New Roman"/>
          <w:color w:val="auto"/>
          <w:sz w:val="24"/>
          <w:szCs w:val="24"/>
          <w:u w:val="none"/>
        </w:rPr>
        <w:t xml:space="preserve"> e </w:t>
      </w:r>
      <w:r w:rsidR="00B923B1" w:rsidRPr="00862FD4">
        <w:rPr>
          <w:rStyle w:val="Hyperlink"/>
          <w:rFonts w:ascii="Times New Roman" w:hAnsi="Times New Roman" w:cs="Times New Roman"/>
          <w:color w:val="auto"/>
          <w:sz w:val="24"/>
          <w:szCs w:val="24"/>
          <w:u w:val="none"/>
        </w:rPr>
        <w:t xml:space="preserve">Toritama, apresentou um crescimento importante para o </w:t>
      </w:r>
      <w:r w:rsidR="00B923B1">
        <w:rPr>
          <w:rStyle w:val="Hyperlink"/>
          <w:rFonts w:ascii="Times New Roman" w:hAnsi="Times New Roman" w:cs="Times New Roman"/>
          <w:color w:val="auto"/>
          <w:sz w:val="24"/>
          <w:szCs w:val="24"/>
          <w:u w:val="none"/>
        </w:rPr>
        <w:t>A</w:t>
      </w:r>
      <w:r w:rsidR="00B923B1" w:rsidRPr="00862FD4">
        <w:rPr>
          <w:rStyle w:val="Hyperlink"/>
          <w:rFonts w:ascii="Times New Roman" w:hAnsi="Times New Roman" w:cs="Times New Roman"/>
          <w:color w:val="auto"/>
          <w:sz w:val="24"/>
          <w:szCs w:val="24"/>
          <w:u w:val="none"/>
        </w:rPr>
        <w:t>greste, como mostra Rocha</w:t>
      </w:r>
      <w:r w:rsidR="00B923B1">
        <w:rPr>
          <w:rStyle w:val="Hyperlink"/>
          <w:rFonts w:ascii="Times New Roman" w:hAnsi="Times New Roman" w:cs="Times New Roman"/>
          <w:color w:val="auto"/>
          <w:sz w:val="24"/>
          <w:szCs w:val="24"/>
          <w:u w:val="none"/>
        </w:rPr>
        <w:t>, Silva Júnior e Viana</w:t>
      </w:r>
      <w:r w:rsidR="00B923B1" w:rsidRPr="00862FD4">
        <w:rPr>
          <w:rStyle w:val="Hyperlink"/>
          <w:rFonts w:ascii="Times New Roman" w:hAnsi="Times New Roman" w:cs="Times New Roman"/>
          <w:color w:val="auto"/>
          <w:sz w:val="24"/>
          <w:szCs w:val="24"/>
          <w:u w:val="none"/>
        </w:rPr>
        <w:t xml:space="preserve"> (2015),</w:t>
      </w:r>
      <w:r w:rsidR="00B923B1">
        <w:rPr>
          <w:rStyle w:val="Hyperlink"/>
          <w:rFonts w:ascii="Times New Roman" w:hAnsi="Times New Roman" w:cs="Times New Roman"/>
          <w:color w:val="auto"/>
          <w:sz w:val="24"/>
          <w:szCs w:val="24"/>
          <w:u w:val="none"/>
        </w:rPr>
        <w:t xml:space="preserve"> onde</w:t>
      </w:r>
      <w:r w:rsidR="00B923B1" w:rsidRPr="00862FD4">
        <w:rPr>
          <w:rStyle w:val="Hyperlink"/>
          <w:rFonts w:ascii="Times New Roman" w:hAnsi="Times New Roman" w:cs="Times New Roman"/>
          <w:color w:val="auto"/>
          <w:sz w:val="24"/>
          <w:szCs w:val="24"/>
          <w:u w:val="none"/>
        </w:rPr>
        <w:t xml:space="preserve"> estão cerca 70% da indústria têxtil pernambucana.</w:t>
      </w:r>
    </w:p>
    <w:p w:rsidR="00E71897" w:rsidRPr="00BB518C" w:rsidRDefault="0058331A" w:rsidP="006714A0">
      <w:pPr>
        <w:spacing w:line="240" w:lineRule="auto"/>
        <w:ind w:firstLine="709"/>
        <w:jc w:val="both"/>
        <w:rPr>
          <w:rStyle w:val="Hyperlink"/>
          <w:rFonts w:ascii="Times New Roman" w:hAnsi="Times New Roman" w:cs="Times New Roman"/>
          <w:color w:val="auto"/>
          <w:sz w:val="24"/>
          <w:szCs w:val="24"/>
          <w:u w:val="none"/>
        </w:rPr>
      </w:pPr>
      <w:r w:rsidRPr="00BB518C">
        <w:rPr>
          <w:rStyle w:val="Hyperlink"/>
          <w:rFonts w:ascii="Times New Roman" w:hAnsi="Times New Roman" w:cs="Times New Roman"/>
          <w:color w:val="auto"/>
          <w:sz w:val="24"/>
          <w:szCs w:val="24"/>
          <w:u w:val="none"/>
        </w:rPr>
        <w:t>Em termos de PIB, a desigualdade é muito meno</w:t>
      </w:r>
      <w:r w:rsidR="00C4161E" w:rsidRPr="00BB518C">
        <w:rPr>
          <w:rStyle w:val="Hyperlink"/>
          <w:rFonts w:ascii="Times New Roman" w:hAnsi="Times New Roman" w:cs="Times New Roman"/>
          <w:color w:val="auto"/>
          <w:sz w:val="24"/>
          <w:szCs w:val="24"/>
          <w:u w:val="none"/>
        </w:rPr>
        <w:t>r</w:t>
      </w:r>
      <w:r w:rsidRPr="00BB518C">
        <w:rPr>
          <w:rStyle w:val="Hyperlink"/>
          <w:rFonts w:ascii="Times New Roman" w:hAnsi="Times New Roman" w:cs="Times New Roman"/>
          <w:color w:val="auto"/>
          <w:sz w:val="24"/>
          <w:szCs w:val="24"/>
          <w:u w:val="none"/>
        </w:rPr>
        <w:t xml:space="preserve">, quando comparada a </w:t>
      </w:r>
      <w:r w:rsidR="000465EE" w:rsidRPr="00BB518C">
        <w:rPr>
          <w:rStyle w:val="Hyperlink"/>
          <w:rFonts w:ascii="Times New Roman" w:hAnsi="Times New Roman" w:cs="Times New Roman"/>
          <w:color w:val="auto"/>
          <w:sz w:val="24"/>
          <w:szCs w:val="24"/>
          <w:u w:val="none"/>
        </w:rPr>
        <w:t xml:space="preserve">disparidade da </w:t>
      </w:r>
      <w:r w:rsidRPr="00BB518C">
        <w:rPr>
          <w:rStyle w:val="Hyperlink"/>
          <w:rFonts w:ascii="Times New Roman" w:hAnsi="Times New Roman" w:cs="Times New Roman"/>
          <w:color w:val="auto"/>
          <w:sz w:val="24"/>
          <w:szCs w:val="24"/>
          <w:u w:val="none"/>
        </w:rPr>
        <w:t xml:space="preserve">renda média do trabalhador pernambucano. </w:t>
      </w:r>
      <w:r w:rsidR="00C4161E" w:rsidRPr="00BB518C">
        <w:rPr>
          <w:rStyle w:val="Hyperlink"/>
          <w:rFonts w:ascii="Times New Roman" w:hAnsi="Times New Roman" w:cs="Times New Roman"/>
          <w:color w:val="auto"/>
          <w:sz w:val="24"/>
          <w:szCs w:val="24"/>
          <w:u w:val="none"/>
        </w:rPr>
        <w:t xml:space="preserve">O que </w:t>
      </w:r>
      <w:r w:rsidR="000465EE" w:rsidRPr="00BB518C">
        <w:rPr>
          <w:rStyle w:val="Hyperlink"/>
          <w:rFonts w:ascii="Times New Roman" w:hAnsi="Times New Roman" w:cs="Times New Roman"/>
          <w:color w:val="auto"/>
          <w:sz w:val="24"/>
          <w:szCs w:val="24"/>
          <w:u w:val="none"/>
        </w:rPr>
        <w:t xml:space="preserve">pode estar evidenciando a </w:t>
      </w:r>
      <w:r w:rsidR="00C4161E" w:rsidRPr="00BB518C">
        <w:rPr>
          <w:rStyle w:val="Hyperlink"/>
          <w:rFonts w:ascii="Times New Roman" w:hAnsi="Times New Roman" w:cs="Times New Roman"/>
          <w:color w:val="auto"/>
          <w:sz w:val="24"/>
          <w:szCs w:val="24"/>
          <w:u w:val="none"/>
        </w:rPr>
        <w:t xml:space="preserve">desigualdade da renda média ser tão elevada </w:t>
      </w:r>
      <w:r w:rsidR="000465EE" w:rsidRPr="00BB518C">
        <w:rPr>
          <w:rStyle w:val="Hyperlink"/>
          <w:rFonts w:ascii="Times New Roman" w:hAnsi="Times New Roman" w:cs="Times New Roman"/>
          <w:color w:val="auto"/>
          <w:sz w:val="24"/>
          <w:szCs w:val="24"/>
          <w:u w:val="none"/>
        </w:rPr>
        <w:t xml:space="preserve">na Região Metropolitana é a própria característica dos setores dinâmicos, </w:t>
      </w:r>
      <w:r w:rsidR="00ED5C92" w:rsidRPr="00BB518C">
        <w:rPr>
          <w:rStyle w:val="Hyperlink"/>
          <w:rFonts w:ascii="Times New Roman" w:hAnsi="Times New Roman" w:cs="Times New Roman"/>
          <w:color w:val="auto"/>
          <w:sz w:val="24"/>
          <w:szCs w:val="24"/>
          <w:u w:val="none"/>
        </w:rPr>
        <w:t>pois setores da economia que absorvem mão de obra mais escolarizada apresentam maiores desigualdades em regiões mais ricas.</w:t>
      </w:r>
    </w:p>
    <w:p w:rsidR="00834206" w:rsidRDefault="00FB4155" w:rsidP="00A76341">
      <w:pPr>
        <w:spacing w:after="0"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Analisando os dados sobre </w:t>
      </w:r>
      <w:r w:rsidR="000E5F22">
        <w:rPr>
          <w:rStyle w:val="Hyperlink"/>
          <w:rFonts w:ascii="Times New Roman" w:hAnsi="Times New Roman" w:cs="Times New Roman"/>
          <w:color w:val="auto"/>
          <w:sz w:val="24"/>
          <w:szCs w:val="24"/>
          <w:u w:val="none"/>
        </w:rPr>
        <w:t xml:space="preserve">a primeira decomposição do índice de Theil-T em </w:t>
      </w:r>
      <w:r w:rsidR="00DE7C47">
        <w:rPr>
          <w:rStyle w:val="Hyperlink"/>
          <w:rFonts w:ascii="Times New Roman" w:hAnsi="Times New Roman" w:cs="Times New Roman"/>
          <w:color w:val="auto"/>
          <w:sz w:val="24"/>
          <w:szCs w:val="24"/>
          <w:u w:val="none"/>
        </w:rPr>
        <w:t>dois componentes</w:t>
      </w:r>
      <w:r>
        <w:rPr>
          <w:rStyle w:val="Hyperlink"/>
          <w:rFonts w:ascii="Times New Roman" w:hAnsi="Times New Roman" w:cs="Times New Roman"/>
          <w:color w:val="auto"/>
          <w:sz w:val="24"/>
          <w:szCs w:val="24"/>
          <w:u w:val="none"/>
        </w:rPr>
        <w:t xml:space="preserve"> (Tabela 4)</w:t>
      </w:r>
      <w:r w:rsidR="000E5F22">
        <w:rPr>
          <w:rStyle w:val="Hyperlink"/>
          <w:rFonts w:ascii="Times New Roman" w:hAnsi="Times New Roman" w:cs="Times New Roman"/>
          <w:color w:val="auto"/>
          <w:sz w:val="24"/>
          <w:szCs w:val="24"/>
          <w:u w:val="none"/>
        </w:rPr>
        <w:t>, mostrando a desigualdade dentro da mesorregião (T</w:t>
      </w:r>
      <w:r w:rsidR="000E5F22">
        <w:rPr>
          <w:rStyle w:val="Hyperlink"/>
          <w:rFonts w:ascii="Times New Roman" w:hAnsi="Times New Roman" w:cs="Times New Roman"/>
          <w:color w:val="auto"/>
          <w:sz w:val="24"/>
          <w:szCs w:val="24"/>
          <w:u w:val="none"/>
          <w:vertAlign w:val="subscript"/>
        </w:rPr>
        <w:t>Wmes</w:t>
      </w:r>
      <w:r w:rsidR="000E5F22">
        <w:rPr>
          <w:rStyle w:val="Hyperlink"/>
          <w:rFonts w:ascii="Times New Roman" w:hAnsi="Times New Roman" w:cs="Times New Roman"/>
          <w:color w:val="auto"/>
          <w:sz w:val="24"/>
          <w:szCs w:val="24"/>
          <w:u w:val="none"/>
        </w:rPr>
        <w:t>), entre mesorregião (T</w:t>
      </w:r>
      <w:r w:rsidR="000E5F22">
        <w:rPr>
          <w:rStyle w:val="Hyperlink"/>
          <w:rFonts w:ascii="Times New Roman" w:hAnsi="Times New Roman" w:cs="Times New Roman"/>
          <w:color w:val="auto"/>
          <w:sz w:val="24"/>
          <w:szCs w:val="24"/>
          <w:u w:val="none"/>
          <w:vertAlign w:val="subscript"/>
        </w:rPr>
        <w:t>Bmes</w:t>
      </w:r>
      <w:r w:rsidR="000E5F22">
        <w:rPr>
          <w:rStyle w:val="Hyperlink"/>
          <w:rFonts w:ascii="Times New Roman" w:hAnsi="Times New Roman" w:cs="Times New Roman"/>
          <w:color w:val="auto"/>
          <w:sz w:val="24"/>
          <w:szCs w:val="24"/>
          <w:u w:val="none"/>
        </w:rPr>
        <w:t xml:space="preserve">) e o índice de Theil-T </w:t>
      </w:r>
      <w:r w:rsidR="00DE7C47">
        <w:rPr>
          <w:rStyle w:val="Hyperlink"/>
          <w:rFonts w:ascii="Times New Roman" w:hAnsi="Times New Roman" w:cs="Times New Roman"/>
          <w:color w:val="auto"/>
          <w:sz w:val="24"/>
          <w:szCs w:val="24"/>
          <w:u w:val="none"/>
        </w:rPr>
        <w:t xml:space="preserve">total de </w:t>
      </w:r>
      <w:r w:rsidR="000E5F22">
        <w:rPr>
          <w:rStyle w:val="Hyperlink"/>
          <w:rFonts w:ascii="Times New Roman" w:hAnsi="Times New Roman" w:cs="Times New Roman"/>
          <w:color w:val="auto"/>
          <w:sz w:val="24"/>
          <w:szCs w:val="24"/>
          <w:u w:val="none"/>
        </w:rPr>
        <w:t>Pernambucano.</w:t>
      </w:r>
      <w:r w:rsidR="007D76BE">
        <w:rPr>
          <w:rStyle w:val="Hyperlink"/>
          <w:rFonts w:ascii="Times New Roman" w:hAnsi="Times New Roman" w:cs="Times New Roman"/>
          <w:color w:val="auto"/>
          <w:sz w:val="24"/>
          <w:szCs w:val="24"/>
          <w:u w:val="none"/>
        </w:rPr>
        <w:t xml:space="preserve"> Para Pernambuco</w:t>
      </w:r>
      <w:r w:rsidR="009A64F0">
        <w:rPr>
          <w:rStyle w:val="Hyperlink"/>
          <w:rFonts w:ascii="Times New Roman" w:hAnsi="Times New Roman" w:cs="Times New Roman"/>
          <w:color w:val="auto"/>
          <w:sz w:val="24"/>
          <w:szCs w:val="24"/>
          <w:u w:val="none"/>
        </w:rPr>
        <w:t>,</w:t>
      </w:r>
      <w:r w:rsidR="00DC4EAC">
        <w:rPr>
          <w:rStyle w:val="Hyperlink"/>
          <w:rFonts w:ascii="Times New Roman" w:hAnsi="Times New Roman" w:cs="Times New Roman"/>
          <w:color w:val="auto"/>
          <w:sz w:val="24"/>
          <w:szCs w:val="24"/>
          <w:u w:val="none"/>
        </w:rPr>
        <w:t xml:space="preserve"> verifica-se que em 2002</w:t>
      </w:r>
      <w:r w:rsidR="007D76BE">
        <w:rPr>
          <w:rStyle w:val="Hyperlink"/>
          <w:rFonts w:ascii="Times New Roman" w:hAnsi="Times New Roman" w:cs="Times New Roman"/>
          <w:color w:val="auto"/>
          <w:sz w:val="24"/>
          <w:szCs w:val="24"/>
          <w:u w:val="none"/>
        </w:rPr>
        <w:t xml:space="preserve"> </w:t>
      </w:r>
      <w:r w:rsidR="00DC4EAC">
        <w:rPr>
          <w:rStyle w:val="Hyperlink"/>
          <w:rFonts w:ascii="Times New Roman" w:hAnsi="Times New Roman" w:cs="Times New Roman"/>
          <w:color w:val="auto"/>
          <w:sz w:val="24"/>
          <w:szCs w:val="24"/>
          <w:u w:val="none"/>
        </w:rPr>
        <w:t>(31</w:t>
      </w:r>
      <w:r w:rsidR="009A64F0">
        <w:rPr>
          <w:rStyle w:val="Hyperlink"/>
          <w:rFonts w:ascii="Times New Roman" w:hAnsi="Times New Roman" w:cs="Times New Roman"/>
          <w:color w:val="auto"/>
          <w:sz w:val="24"/>
          <w:szCs w:val="24"/>
          <w:u w:val="none"/>
        </w:rPr>
        <w:t xml:space="preserve">%) </w:t>
      </w:r>
      <w:r w:rsidR="007D76BE">
        <w:rPr>
          <w:rStyle w:val="Hyperlink"/>
          <w:rFonts w:ascii="Times New Roman" w:hAnsi="Times New Roman" w:cs="Times New Roman"/>
          <w:color w:val="auto"/>
          <w:sz w:val="24"/>
          <w:szCs w:val="24"/>
          <w:u w:val="none"/>
        </w:rPr>
        <w:t>da disparidade do PIB das mesorregiões era explicada por diferenças entre elas, nos anos seguintes</w:t>
      </w:r>
      <w:r w:rsidR="004312DA">
        <w:rPr>
          <w:rStyle w:val="Hyperlink"/>
          <w:rFonts w:ascii="Times New Roman" w:hAnsi="Times New Roman" w:cs="Times New Roman"/>
          <w:color w:val="auto"/>
          <w:sz w:val="24"/>
          <w:szCs w:val="24"/>
          <w:u w:val="none"/>
        </w:rPr>
        <w:t xml:space="preserve"> observa-se que a trajetória da desigualdade diminuiu sensivelmente para o período analisado</w:t>
      </w:r>
      <w:r w:rsidR="009A64F0">
        <w:rPr>
          <w:rStyle w:val="Hyperlink"/>
          <w:rFonts w:ascii="Times New Roman" w:hAnsi="Times New Roman" w:cs="Times New Roman"/>
          <w:color w:val="auto"/>
          <w:sz w:val="24"/>
          <w:szCs w:val="24"/>
          <w:u w:val="none"/>
        </w:rPr>
        <w:t>,</w:t>
      </w:r>
      <w:r w:rsidR="004312DA">
        <w:rPr>
          <w:rStyle w:val="Hyperlink"/>
          <w:rFonts w:ascii="Times New Roman" w:hAnsi="Times New Roman" w:cs="Times New Roman"/>
          <w:color w:val="auto"/>
          <w:sz w:val="24"/>
          <w:szCs w:val="24"/>
          <w:u w:val="none"/>
        </w:rPr>
        <w:t xml:space="preserve"> chegando a 20% em 2012.</w:t>
      </w:r>
      <w:r w:rsidR="00123C56">
        <w:rPr>
          <w:rStyle w:val="Hyperlink"/>
          <w:rFonts w:ascii="Times New Roman" w:hAnsi="Times New Roman" w:cs="Times New Roman"/>
          <w:color w:val="auto"/>
          <w:sz w:val="24"/>
          <w:szCs w:val="24"/>
          <w:u w:val="none"/>
        </w:rPr>
        <w:t xml:space="preserve"> Enquanto que a disparidade dentro de cada mesorregião </w:t>
      </w:r>
      <w:r w:rsidR="009A64F0">
        <w:rPr>
          <w:rStyle w:val="Hyperlink"/>
          <w:rFonts w:ascii="Times New Roman" w:hAnsi="Times New Roman" w:cs="Times New Roman"/>
          <w:color w:val="auto"/>
          <w:sz w:val="24"/>
          <w:szCs w:val="24"/>
          <w:u w:val="none"/>
        </w:rPr>
        <w:t>foi</w:t>
      </w:r>
      <w:r w:rsidR="00123C56">
        <w:rPr>
          <w:rStyle w:val="Hyperlink"/>
          <w:rFonts w:ascii="Times New Roman" w:hAnsi="Times New Roman" w:cs="Times New Roman"/>
          <w:color w:val="auto"/>
          <w:sz w:val="24"/>
          <w:szCs w:val="24"/>
          <w:u w:val="none"/>
        </w:rPr>
        <w:t xml:space="preserve"> responsável por </w:t>
      </w:r>
      <w:r w:rsidR="00DC4EAC">
        <w:rPr>
          <w:rStyle w:val="Hyperlink"/>
          <w:rFonts w:ascii="Times New Roman" w:hAnsi="Times New Roman" w:cs="Times New Roman"/>
          <w:color w:val="auto"/>
          <w:sz w:val="24"/>
          <w:szCs w:val="24"/>
          <w:u w:val="none"/>
        </w:rPr>
        <w:t>explicar 68% em 2002</w:t>
      </w:r>
      <w:r w:rsidR="00FC444E">
        <w:rPr>
          <w:rStyle w:val="Hyperlink"/>
          <w:rFonts w:ascii="Times New Roman" w:hAnsi="Times New Roman" w:cs="Times New Roman"/>
          <w:color w:val="auto"/>
          <w:sz w:val="24"/>
          <w:szCs w:val="24"/>
          <w:u w:val="none"/>
        </w:rPr>
        <w:t xml:space="preserve"> e 79% no ano de 2012.</w:t>
      </w:r>
      <w:r w:rsidR="0022418C">
        <w:rPr>
          <w:rStyle w:val="Hyperlink"/>
          <w:rFonts w:ascii="Times New Roman" w:hAnsi="Times New Roman" w:cs="Times New Roman"/>
          <w:color w:val="auto"/>
          <w:sz w:val="24"/>
          <w:szCs w:val="24"/>
          <w:u w:val="none"/>
        </w:rPr>
        <w:t xml:space="preserve"> </w:t>
      </w:r>
    </w:p>
    <w:p w:rsidR="006714A0" w:rsidRDefault="006714A0" w:rsidP="006714A0">
      <w:pPr>
        <w:spacing w:after="0" w:line="240" w:lineRule="auto"/>
        <w:ind w:firstLine="709"/>
        <w:jc w:val="both"/>
        <w:rPr>
          <w:rStyle w:val="Hyperlink"/>
          <w:rFonts w:ascii="Times New Roman" w:hAnsi="Times New Roman" w:cs="Times New Roman"/>
          <w:color w:val="auto"/>
          <w:sz w:val="24"/>
          <w:szCs w:val="24"/>
          <w:u w:val="none"/>
        </w:rPr>
      </w:pPr>
    </w:p>
    <w:p w:rsidR="00E50917" w:rsidRDefault="0022418C" w:rsidP="00F41A50">
      <w:pPr>
        <w:spacing w:after="0" w:line="240" w:lineRule="auto"/>
        <w:jc w:val="center"/>
        <w:rPr>
          <w:rFonts w:ascii="Times New Roman" w:eastAsia="Times New Roman" w:hAnsi="Times New Roman" w:cs="Times New Roman"/>
          <w:bCs/>
          <w:color w:val="000000"/>
          <w:sz w:val="24"/>
          <w:szCs w:val="24"/>
          <w:lang w:eastAsia="pt-BR"/>
        </w:rPr>
      </w:pPr>
      <w:r w:rsidRPr="00AB0B0F">
        <w:rPr>
          <w:rFonts w:ascii="Times New Roman" w:eastAsia="Times New Roman" w:hAnsi="Times New Roman" w:cs="Times New Roman"/>
          <w:bCs/>
          <w:color w:val="000000"/>
          <w:sz w:val="24"/>
          <w:szCs w:val="24"/>
          <w:lang w:eastAsia="pt-BR"/>
        </w:rPr>
        <w:t xml:space="preserve">Tabela 4 - Decomposição </w:t>
      </w:r>
      <w:r>
        <w:rPr>
          <w:rFonts w:ascii="Times New Roman" w:eastAsia="Times New Roman" w:hAnsi="Times New Roman" w:cs="Times New Roman"/>
          <w:bCs/>
          <w:color w:val="000000"/>
          <w:sz w:val="24"/>
          <w:szCs w:val="24"/>
          <w:lang w:eastAsia="pt-BR"/>
        </w:rPr>
        <w:t>do índice de disparidade (PIB) de Theil - T em desigualdade intra e inter mesorregiões de Pernambuco</w:t>
      </w:r>
    </w:p>
    <w:tbl>
      <w:tblPr>
        <w:tblW w:w="9048" w:type="dxa"/>
        <w:tblInd w:w="53" w:type="dxa"/>
        <w:tblCellMar>
          <w:left w:w="70" w:type="dxa"/>
          <w:right w:w="70" w:type="dxa"/>
        </w:tblCellMar>
        <w:tblLook w:val="04A0" w:firstRow="1" w:lastRow="0" w:firstColumn="1" w:lastColumn="0" w:noHBand="0" w:noVBand="1"/>
      </w:tblPr>
      <w:tblGrid>
        <w:gridCol w:w="745"/>
        <w:gridCol w:w="745"/>
        <w:gridCol w:w="649"/>
        <w:gridCol w:w="642"/>
        <w:gridCol w:w="9"/>
        <w:gridCol w:w="151"/>
        <w:gridCol w:w="439"/>
        <w:gridCol w:w="498"/>
        <w:gridCol w:w="143"/>
        <w:gridCol w:w="17"/>
        <w:gridCol w:w="573"/>
        <w:gridCol w:w="641"/>
        <w:gridCol w:w="590"/>
        <w:gridCol w:w="641"/>
        <w:gridCol w:w="627"/>
        <w:gridCol w:w="704"/>
        <w:gridCol w:w="593"/>
        <w:gridCol w:w="641"/>
      </w:tblGrid>
      <w:tr w:rsidR="00082DC0" w:rsidRPr="00074BBA" w:rsidTr="007C323B">
        <w:trPr>
          <w:trHeight w:val="307"/>
        </w:trPr>
        <w:tc>
          <w:tcPr>
            <w:tcW w:w="1490" w:type="dxa"/>
            <w:gridSpan w:val="2"/>
            <w:tcBorders>
              <w:left w:val="nil"/>
              <w:right w:val="nil"/>
            </w:tcBorders>
            <w:shd w:val="clear" w:color="auto" w:fill="auto"/>
            <w:noWrap/>
            <w:vAlign w:val="bottom"/>
            <w:hideMark/>
          </w:tcPr>
          <w:p w:rsidR="00082DC0" w:rsidRPr="00074BBA" w:rsidRDefault="00082DC0" w:rsidP="00F41A50">
            <w:pPr>
              <w:spacing w:after="0" w:line="240" w:lineRule="auto"/>
              <w:rPr>
                <w:rFonts w:ascii="Times New Roman" w:eastAsia="Times New Roman" w:hAnsi="Times New Roman" w:cs="Times New Roman"/>
                <w:color w:val="000000"/>
                <w:sz w:val="18"/>
                <w:szCs w:val="18"/>
                <w:lang w:eastAsia="pt-BR"/>
              </w:rPr>
            </w:pPr>
          </w:p>
        </w:tc>
        <w:tc>
          <w:tcPr>
            <w:tcW w:w="1291" w:type="dxa"/>
            <w:gridSpan w:val="2"/>
            <w:tcBorders>
              <w:top w:val="single" w:sz="4" w:space="0" w:color="auto"/>
              <w:left w:val="nil"/>
              <w:bottom w:val="single" w:sz="4" w:space="0" w:color="auto"/>
              <w:right w:val="single" w:sz="4" w:space="0" w:color="auto"/>
            </w:tcBorders>
            <w:shd w:val="clear" w:color="auto" w:fill="auto"/>
            <w:noWrap/>
            <w:vAlign w:val="bottom"/>
            <w:hideMark/>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2002</w:t>
            </w:r>
          </w:p>
        </w:tc>
        <w:tc>
          <w:tcPr>
            <w:tcW w:w="160" w:type="dxa"/>
            <w:gridSpan w:val="2"/>
            <w:tcBorders>
              <w:top w:val="single" w:sz="4" w:space="0" w:color="auto"/>
              <w:left w:val="single" w:sz="4" w:space="0" w:color="auto"/>
              <w:bottom w:val="single" w:sz="4" w:space="0" w:color="auto"/>
              <w:right w:val="nil"/>
            </w:tcBorders>
            <w:shd w:val="clear" w:color="auto" w:fill="auto"/>
            <w:vAlign w:val="bottom"/>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p>
        </w:tc>
        <w:tc>
          <w:tcPr>
            <w:tcW w:w="937" w:type="dxa"/>
            <w:gridSpan w:val="2"/>
            <w:tcBorders>
              <w:top w:val="single" w:sz="4" w:space="0" w:color="auto"/>
              <w:left w:val="nil"/>
              <w:bottom w:val="single" w:sz="4" w:space="0" w:color="auto"/>
              <w:right w:val="nil"/>
            </w:tcBorders>
            <w:shd w:val="clear" w:color="auto" w:fill="auto"/>
            <w:noWrap/>
            <w:vAlign w:val="bottom"/>
            <w:hideMark/>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2004</w:t>
            </w:r>
          </w:p>
        </w:tc>
        <w:tc>
          <w:tcPr>
            <w:tcW w:w="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2008</w:t>
            </w:r>
          </w:p>
        </w:tc>
        <w:tc>
          <w:tcPr>
            <w:tcW w:w="1331" w:type="dxa"/>
            <w:gridSpan w:val="2"/>
            <w:tcBorders>
              <w:top w:val="single" w:sz="4" w:space="0" w:color="auto"/>
              <w:left w:val="single" w:sz="4" w:space="0" w:color="auto"/>
              <w:bottom w:val="single" w:sz="4" w:space="0" w:color="auto"/>
            </w:tcBorders>
            <w:shd w:val="clear" w:color="auto" w:fill="auto"/>
            <w:vAlign w:val="bottom"/>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201</w:t>
            </w:r>
            <w:r>
              <w:rPr>
                <w:rFonts w:ascii="Times New Roman" w:eastAsia="Times New Roman" w:hAnsi="Times New Roman" w:cs="Times New Roman"/>
                <w:b/>
                <w:color w:val="000000"/>
                <w:sz w:val="18"/>
                <w:szCs w:val="18"/>
                <w:lang w:eastAsia="pt-BR"/>
              </w:rPr>
              <w:t>0</w:t>
            </w:r>
          </w:p>
        </w:tc>
        <w:tc>
          <w:tcPr>
            <w:tcW w:w="1234" w:type="dxa"/>
            <w:gridSpan w:val="2"/>
            <w:tcBorders>
              <w:top w:val="single" w:sz="4" w:space="0" w:color="auto"/>
              <w:left w:val="single" w:sz="4" w:space="0" w:color="auto"/>
              <w:bottom w:val="single" w:sz="4" w:space="0" w:color="auto"/>
            </w:tcBorders>
            <w:shd w:val="clear" w:color="auto" w:fill="auto"/>
            <w:vAlign w:val="bottom"/>
          </w:tcPr>
          <w:p w:rsidR="00082DC0" w:rsidRPr="00074BBA" w:rsidRDefault="00082DC0" w:rsidP="007C323B">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2012</w:t>
            </w:r>
          </w:p>
        </w:tc>
      </w:tr>
      <w:tr w:rsidR="00082DC0" w:rsidRPr="00074BBA" w:rsidTr="007C323B">
        <w:trPr>
          <w:trHeight w:val="307"/>
        </w:trPr>
        <w:tc>
          <w:tcPr>
            <w:tcW w:w="1490" w:type="dxa"/>
            <w:gridSpan w:val="2"/>
            <w:tcBorders>
              <w:left w:val="nil"/>
              <w:bottom w:val="nil"/>
              <w:right w:val="nil"/>
            </w:tcBorders>
            <w:shd w:val="clear" w:color="auto" w:fill="auto"/>
            <w:noWrap/>
            <w:vAlign w:val="center"/>
            <w:hideMark/>
          </w:tcPr>
          <w:p w:rsidR="00082DC0" w:rsidRPr="00074BBA" w:rsidRDefault="00082DC0" w:rsidP="007C323B">
            <w:pPr>
              <w:spacing w:after="0" w:line="240" w:lineRule="auto"/>
              <w:rPr>
                <w:rFonts w:ascii="Times New Roman" w:eastAsia="Times New Roman" w:hAnsi="Times New Roman" w:cs="Times New Roman"/>
                <w:b/>
                <w:color w:val="000000"/>
                <w:sz w:val="18"/>
                <w:szCs w:val="18"/>
                <w:lang w:eastAsia="pt-BR"/>
              </w:rPr>
            </w:pPr>
          </w:p>
        </w:tc>
        <w:tc>
          <w:tcPr>
            <w:tcW w:w="649" w:type="dxa"/>
            <w:tcBorders>
              <w:top w:val="single" w:sz="4" w:space="0" w:color="auto"/>
              <w:left w:val="nil"/>
              <w:bottom w:val="nil"/>
              <w:right w:val="nil"/>
            </w:tcBorders>
            <w:shd w:val="clear" w:color="auto" w:fill="auto"/>
            <w:noWrap/>
            <w:vAlign w:val="center"/>
            <w:hideMark/>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51" w:type="dxa"/>
            <w:gridSpan w:val="2"/>
            <w:tcBorders>
              <w:top w:val="single" w:sz="4" w:space="0" w:color="auto"/>
              <w:left w:val="nil"/>
              <w:bottom w:val="nil"/>
              <w:right w:val="single" w:sz="4" w:space="0" w:color="auto"/>
            </w:tcBorders>
            <w:vAlign w:val="center"/>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0" w:type="dxa"/>
            <w:gridSpan w:val="2"/>
            <w:tcBorders>
              <w:top w:val="single" w:sz="4" w:space="0" w:color="auto"/>
              <w:left w:val="single" w:sz="4" w:space="0" w:color="auto"/>
              <w:bottom w:val="nil"/>
              <w:right w:val="nil"/>
            </w:tcBorders>
            <w:shd w:val="clear" w:color="auto" w:fill="auto"/>
            <w:noWrap/>
            <w:vAlign w:val="center"/>
            <w:hideMark/>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gridSpan w:val="2"/>
            <w:tcBorders>
              <w:top w:val="single" w:sz="4" w:space="0" w:color="auto"/>
              <w:left w:val="nil"/>
              <w:bottom w:val="nil"/>
              <w:right w:val="single" w:sz="4" w:space="0" w:color="auto"/>
            </w:tcBorders>
            <w:vAlign w:val="center"/>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0" w:type="dxa"/>
            <w:gridSpan w:val="2"/>
            <w:tcBorders>
              <w:top w:val="single" w:sz="4" w:space="0" w:color="auto"/>
              <w:left w:val="single" w:sz="4" w:space="0" w:color="auto"/>
              <w:bottom w:val="nil"/>
              <w:right w:val="nil"/>
            </w:tcBorders>
            <w:shd w:val="clear" w:color="auto" w:fill="auto"/>
            <w:noWrap/>
            <w:vAlign w:val="center"/>
            <w:hideMark/>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tcBorders>
              <w:top w:val="single" w:sz="4" w:space="0" w:color="auto"/>
              <w:left w:val="nil"/>
              <w:bottom w:val="nil"/>
              <w:right w:val="single" w:sz="4" w:space="0" w:color="auto"/>
            </w:tcBorders>
            <w:vAlign w:val="center"/>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0" w:type="dxa"/>
            <w:tcBorders>
              <w:top w:val="single" w:sz="4" w:space="0" w:color="auto"/>
              <w:left w:val="single" w:sz="4" w:space="0" w:color="auto"/>
              <w:bottom w:val="nil"/>
              <w:right w:val="nil"/>
            </w:tcBorders>
            <w:shd w:val="clear" w:color="auto" w:fill="auto"/>
            <w:noWrap/>
            <w:vAlign w:val="center"/>
            <w:hideMark/>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tcBorders>
              <w:top w:val="single" w:sz="4" w:space="0" w:color="auto"/>
              <w:left w:val="nil"/>
              <w:bottom w:val="nil"/>
              <w:right w:val="single" w:sz="4" w:space="0" w:color="auto"/>
            </w:tcBorders>
            <w:vAlign w:val="center"/>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627" w:type="dxa"/>
            <w:tcBorders>
              <w:top w:val="single" w:sz="4" w:space="0" w:color="auto"/>
              <w:left w:val="nil"/>
              <w:bottom w:val="nil"/>
              <w:right w:val="nil"/>
            </w:tcBorders>
            <w:shd w:val="clear" w:color="auto" w:fill="auto"/>
            <w:noWrap/>
            <w:vAlign w:val="center"/>
            <w:hideMark/>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704" w:type="dxa"/>
            <w:tcBorders>
              <w:top w:val="single" w:sz="4" w:space="0" w:color="auto"/>
              <w:left w:val="nil"/>
              <w:bottom w:val="nil"/>
              <w:right w:val="single" w:sz="4" w:space="0" w:color="auto"/>
            </w:tcBorders>
            <w:vAlign w:val="center"/>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3" w:type="dxa"/>
            <w:tcBorders>
              <w:top w:val="single" w:sz="4" w:space="0" w:color="auto"/>
              <w:left w:val="nil"/>
              <w:bottom w:val="nil"/>
              <w:right w:val="nil"/>
            </w:tcBorders>
            <w:shd w:val="clear" w:color="auto" w:fill="auto"/>
            <w:noWrap/>
            <w:vAlign w:val="center"/>
            <w:hideMark/>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tcBorders>
              <w:top w:val="single" w:sz="4" w:space="0" w:color="auto"/>
              <w:left w:val="nil"/>
              <w:bottom w:val="nil"/>
              <w:right w:val="nil"/>
            </w:tcBorders>
            <w:vAlign w:val="center"/>
          </w:tcPr>
          <w:p w:rsidR="00082DC0" w:rsidRPr="00074BBA" w:rsidRDefault="00082DC0" w:rsidP="007C323B">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r>
      <w:tr w:rsidR="005812B8" w:rsidRPr="00074BBA" w:rsidTr="007C323B">
        <w:trPr>
          <w:trHeight w:val="307"/>
        </w:trPr>
        <w:tc>
          <w:tcPr>
            <w:tcW w:w="745" w:type="dxa"/>
            <w:vMerge w:val="restart"/>
            <w:tcBorders>
              <w:top w:val="single" w:sz="4" w:space="0" w:color="auto"/>
              <w:left w:val="nil"/>
              <w:right w:val="single" w:sz="4" w:space="0" w:color="auto"/>
            </w:tcBorders>
            <w:shd w:val="clear" w:color="auto" w:fill="auto"/>
            <w:noWrap/>
            <w:vAlign w:val="center"/>
            <w:hideMark/>
          </w:tcPr>
          <w:p w:rsidR="005812B8" w:rsidRPr="00074BBA" w:rsidRDefault="005812B8" w:rsidP="007C323B">
            <w:pPr>
              <w:spacing w:after="0" w:line="240" w:lineRule="auto"/>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PE</w:t>
            </w:r>
          </w:p>
        </w:tc>
        <w:tc>
          <w:tcPr>
            <w:tcW w:w="745" w:type="dxa"/>
            <w:tcBorders>
              <w:top w:val="single" w:sz="4" w:space="0" w:color="auto"/>
              <w:left w:val="single" w:sz="4" w:space="0" w:color="auto"/>
              <w:right w:val="single" w:sz="4" w:space="0" w:color="auto"/>
            </w:tcBorders>
            <w:shd w:val="clear" w:color="auto" w:fill="auto"/>
            <w:vAlign w:val="center"/>
          </w:tcPr>
          <w:p w:rsidR="005812B8" w:rsidRPr="00074BBA" w:rsidRDefault="005812B8" w:rsidP="007C323B">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Tw</w:t>
            </w:r>
            <w:r w:rsidRPr="00074BBA">
              <w:rPr>
                <w:rFonts w:ascii="Times New Roman" w:eastAsia="Times New Roman" w:hAnsi="Times New Roman" w:cs="Times New Roman"/>
                <w:i/>
                <w:color w:val="000000"/>
                <w:sz w:val="18"/>
                <w:szCs w:val="18"/>
                <w:vertAlign w:val="subscript"/>
                <w:lang w:eastAsia="pt-BR"/>
              </w:rPr>
              <w:t>micro</w:t>
            </w:r>
          </w:p>
        </w:tc>
        <w:tc>
          <w:tcPr>
            <w:tcW w:w="649" w:type="dxa"/>
            <w:tcBorders>
              <w:top w:val="single" w:sz="4" w:space="0" w:color="auto"/>
              <w:left w:val="single" w:sz="4" w:space="0" w:color="auto"/>
              <w:bottom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0,388</w:t>
            </w:r>
          </w:p>
        </w:tc>
        <w:tc>
          <w:tcPr>
            <w:tcW w:w="651" w:type="dxa"/>
            <w:gridSpan w:val="2"/>
            <w:tcBorders>
              <w:top w:val="single" w:sz="4" w:space="0" w:color="auto"/>
              <w:left w:val="nil"/>
              <w:bottom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1,294</w:t>
            </w:r>
          </w:p>
        </w:tc>
        <w:tc>
          <w:tcPr>
            <w:tcW w:w="590" w:type="dxa"/>
            <w:gridSpan w:val="2"/>
            <w:tcBorders>
              <w:top w:val="single" w:sz="4" w:space="0" w:color="auto"/>
              <w:left w:val="single" w:sz="4" w:space="0" w:color="auto"/>
              <w:bottom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0,463</w:t>
            </w:r>
          </w:p>
        </w:tc>
        <w:tc>
          <w:tcPr>
            <w:tcW w:w="641" w:type="dxa"/>
            <w:gridSpan w:val="2"/>
            <w:tcBorders>
              <w:top w:val="single" w:sz="4" w:space="0" w:color="auto"/>
              <w:left w:val="nil"/>
              <w:bottom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1,247</w:t>
            </w:r>
          </w:p>
        </w:tc>
        <w:tc>
          <w:tcPr>
            <w:tcW w:w="590" w:type="dxa"/>
            <w:gridSpan w:val="2"/>
            <w:tcBorders>
              <w:top w:val="single" w:sz="4" w:space="0" w:color="auto"/>
              <w:left w:val="single" w:sz="4" w:space="0" w:color="auto"/>
              <w:bottom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0,520</w:t>
            </w:r>
          </w:p>
        </w:tc>
        <w:tc>
          <w:tcPr>
            <w:tcW w:w="641" w:type="dxa"/>
            <w:tcBorders>
              <w:top w:val="single" w:sz="4" w:space="0" w:color="auto"/>
              <w:left w:val="nil"/>
              <w:bottom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1,299</w:t>
            </w:r>
          </w:p>
        </w:tc>
        <w:tc>
          <w:tcPr>
            <w:tcW w:w="590" w:type="dxa"/>
            <w:tcBorders>
              <w:top w:val="single" w:sz="4" w:space="0" w:color="auto"/>
              <w:left w:val="single" w:sz="4" w:space="0" w:color="auto"/>
              <w:bottom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0,579</w:t>
            </w:r>
          </w:p>
        </w:tc>
        <w:tc>
          <w:tcPr>
            <w:tcW w:w="641" w:type="dxa"/>
            <w:tcBorders>
              <w:top w:val="single" w:sz="4" w:space="0" w:color="auto"/>
              <w:left w:val="nil"/>
              <w:bottom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1,289</w:t>
            </w:r>
          </w:p>
        </w:tc>
        <w:tc>
          <w:tcPr>
            <w:tcW w:w="627" w:type="dxa"/>
            <w:tcBorders>
              <w:top w:val="single" w:sz="4" w:space="0" w:color="auto"/>
              <w:left w:val="nil"/>
              <w:bottom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0,647</w:t>
            </w:r>
          </w:p>
        </w:tc>
        <w:tc>
          <w:tcPr>
            <w:tcW w:w="704" w:type="dxa"/>
            <w:tcBorders>
              <w:top w:val="single" w:sz="4" w:space="0" w:color="auto"/>
              <w:left w:val="nil"/>
              <w:bottom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1,216</w:t>
            </w:r>
          </w:p>
        </w:tc>
        <w:tc>
          <w:tcPr>
            <w:tcW w:w="593" w:type="dxa"/>
            <w:tcBorders>
              <w:top w:val="single" w:sz="4" w:space="0" w:color="auto"/>
              <w:left w:val="nil"/>
              <w:bottom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0,669</w:t>
            </w:r>
          </w:p>
        </w:tc>
        <w:tc>
          <w:tcPr>
            <w:tcW w:w="641" w:type="dxa"/>
            <w:tcBorders>
              <w:top w:val="single" w:sz="4" w:space="0" w:color="auto"/>
              <w:left w:val="nil"/>
              <w:bottom w:val="nil"/>
              <w:right w:val="nil"/>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1,177</w:t>
            </w:r>
          </w:p>
        </w:tc>
      </w:tr>
      <w:tr w:rsidR="005812B8" w:rsidRPr="00074BBA" w:rsidTr="007C323B">
        <w:trPr>
          <w:trHeight w:val="307"/>
        </w:trPr>
        <w:tc>
          <w:tcPr>
            <w:tcW w:w="745" w:type="dxa"/>
            <w:vMerge/>
            <w:tcBorders>
              <w:left w:val="nil"/>
              <w:right w:val="single" w:sz="4" w:space="0" w:color="auto"/>
            </w:tcBorders>
            <w:shd w:val="clear" w:color="auto" w:fill="auto"/>
            <w:noWrap/>
            <w:vAlign w:val="center"/>
            <w:hideMark/>
          </w:tcPr>
          <w:p w:rsidR="005812B8" w:rsidRPr="00074BBA" w:rsidRDefault="005812B8" w:rsidP="007C323B">
            <w:pPr>
              <w:spacing w:after="0" w:line="240" w:lineRule="auto"/>
              <w:rPr>
                <w:rFonts w:ascii="Times New Roman" w:eastAsia="Times New Roman" w:hAnsi="Times New Roman" w:cs="Times New Roman"/>
                <w:b/>
                <w:color w:val="000000"/>
                <w:sz w:val="18"/>
                <w:szCs w:val="18"/>
                <w:lang w:eastAsia="pt-BR"/>
              </w:rPr>
            </w:pPr>
          </w:p>
        </w:tc>
        <w:tc>
          <w:tcPr>
            <w:tcW w:w="745" w:type="dxa"/>
            <w:tcBorders>
              <w:left w:val="single" w:sz="4" w:space="0" w:color="auto"/>
              <w:right w:val="single" w:sz="4" w:space="0" w:color="auto"/>
            </w:tcBorders>
            <w:shd w:val="clear" w:color="auto" w:fill="auto"/>
            <w:vAlign w:val="center"/>
          </w:tcPr>
          <w:p w:rsidR="005812B8" w:rsidRPr="00074BBA" w:rsidRDefault="005812B8" w:rsidP="007C323B">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TB</w:t>
            </w:r>
            <w:r w:rsidRPr="00074BBA">
              <w:rPr>
                <w:rFonts w:ascii="Times New Roman" w:eastAsia="Times New Roman" w:hAnsi="Times New Roman" w:cs="Times New Roman"/>
                <w:i/>
                <w:color w:val="000000"/>
                <w:sz w:val="18"/>
                <w:szCs w:val="18"/>
                <w:vertAlign w:val="subscript"/>
                <w:lang w:eastAsia="pt-BR"/>
              </w:rPr>
              <w:t>micro</w:t>
            </w:r>
          </w:p>
        </w:tc>
        <w:tc>
          <w:tcPr>
            <w:tcW w:w="649" w:type="dxa"/>
            <w:tcBorders>
              <w:top w:val="nil"/>
              <w:left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0,177</w:t>
            </w:r>
          </w:p>
        </w:tc>
        <w:tc>
          <w:tcPr>
            <w:tcW w:w="651" w:type="dxa"/>
            <w:gridSpan w:val="2"/>
            <w:tcBorders>
              <w:top w:val="nil"/>
              <w:left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0,448</w:t>
            </w:r>
          </w:p>
        </w:tc>
        <w:tc>
          <w:tcPr>
            <w:tcW w:w="590" w:type="dxa"/>
            <w:gridSpan w:val="2"/>
            <w:tcBorders>
              <w:top w:val="nil"/>
              <w:left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0,177</w:t>
            </w:r>
          </w:p>
        </w:tc>
        <w:tc>
          <w:tcPr>
            <w:tcW w:w="641" w:type="dxa"/>
            <w:gridSpan w:val="2"/>
            <w:tcBorders>
              <w:top w:val="nil"/>
              <w:left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0,430</w:t>
            </w:r>
          </w:p>
        </w:tc>
        <w:tc>
          <w:tcPr>
            <w:tcW w:w="590" w:type="dxa"/>
            <w:gridSpan w:val="2"/>
            <w:tcBorders>
              <w:top w:val="nil"/>
              <w:left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0,161</w:t>
            </w:r>
          </w:p>
        </w:tc>
        <w:tc>
          <w:tcPr>
            <w:tcW w:w="641" w:type="dxa"/>
            <w:tcBorders>
              <w:top w:val="nil"/>
              <w:left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0,427</w:t>
            </w:r>
          </w:p>
        </w:tc>
        <w:tc>
          <w:tcPr>
            <w:tcW w:w="590" w:type="dxa"/>
            <w:tcBorders>
              <w:top w:val="nil"/>
              <w:left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0,163</w:t>
            </w:r>
          </w:p>
        </w:tc>
        <w:tc>
          <w:tcPr>
            <w:tcW w:w="641" w:type="dxa"/>
            <w:tcBorders>
              <w:top w:val="nil"/>
              <w:left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0,400</w:t>
            </w:r>
          </w:p>
        </w:tc>
        <w:tc>
          <w:tcPr>
            <w:tcW w:w="627" w:type="dxa"/>
            <w:tcBorders>
              <w:top w:val="nil"/>
              <w:left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0,165</w:t>
            </w:r>
          </w:p>
        </w:tc>
        <w:tc>
          <w:tcPr>
            <w:tcW w:w="704" w:type="dxa"/>
            <w:tcBorders>
              <w:top w:val="nil"/>
              <w:left w:val="nil"/>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0,383</w:t>
            </w:r>
          </w:p>
        </w:tc>
        <w:tc>
          <w:tcPr>
            <w:tcW w:w="593" w:type="dxa"/>
            <w:tcBorders>
              <w:top w:val="nil"/>
              <w:left w:val="nil"/>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0,169</w:t>
            </w:r>
          </w:p>
        </w:tc>
        <w:tc>
          <w:tcPr>
            <w:tcW w:w="641" w:type="dxa"/>
            <w:tcBorders>
              <w:top w:val="nil"/>
              <w:left w:val="nil"/>
              <w:right w:val="nil"/>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0,355</w:t>
            </w:r>
          </w:p>
        </w:tc>
      </w:tr>
      <w:tr w:rsidR="005812B8" w:rsidRPr="00074BBA" w:rsidTr="007C323B">
        <w:trPr>
          <w:trHeight w:val="307"/>
        </w:trPr>
        <w:tc>
          <w:tcPr>
            <w:tcW w:w="745" w:type="dxa"/>
            <w:vMerge/>
            <w:tcBorders>
              <w:left w:val="nil"/>
              <w:bottom w:val="single" w:sz="4" w:space="0" w:color="auto"/>
              <w:right w:val="single" w:sz="4" w:space="0" w:color="auto"/>
            </w:tcBorders>
            <w:shd w:val="clear" w:color="auto" w:fill="auto"/>
            <w:noWrap/>
            <w:vAlign w:val="center"/>
            <w:hideMark/>
          </w:tcPr>
          <w:p w:rsidR="005812B8" w:rsidRPr="00074BBA" w:rsidRDefault="005812B8" w:rsidP="007C323B">
            <w:pPr>
              <w:spacing w:after="0" w:line="240" w:lineRule="auto"/>
              <w:rPr>
                <w:rFonts w:ascii="Times New Roman" w:eastAsia="Times New Roman" w:hAnsi="Times New Roman" w:cs="Times New Roman"/>
                <w:b/>
                <w:color w:val="000000"/>
                <w:sz w:val="18"/>
                <w:szCs w:val="18"/>
                <w:lang w:eastAsia="pt-BR"/>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5812B8" w:rsidRPr="00074BBA" w:rsidRDefault="005812B8" w:rsidP="007C323B">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w:t>
            </w:r>
          </w:p>
        </w:tc>
        <w:tc>
          <w:tcPr>
            <w:tcW w:w="649" w:type="dxa"/>
            <w:tcBorders>
              <w:top w:val="single" w:sz="4" w:space="0" w:color="auto"/>
              <w:left w:val="single" w:sz="4" w:space="0" w:color="auto"/>
              <w:bottom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0,565</w:t>
            </w:r>
          </w:p>
        </w:tc>
        <w:tc>
          <w:tcPr>
            <w:tcW w:w="651" w:type="dxa"/>
            <w:gridSpan w:val="2"/>
            <w:tcBorders>
              <w:top w:val="single" w:sz="4" w:space="0" w:color="auto"/>
              <w:left w:val="nil"/>
              <w:bottom w:val="single" w:sz="4" w:space="0" w:color="auto"/>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1,742</w:t>
            </w:r>
          </w:p>
        </w:tc>
        <w:tc>
          <w:tcPr>
            <w:tcW w:w="590" w:type="dxa"/>
            <w:gridSpan w:val="2"/>
            <w:tcBorders>
              <w:top w:val="single" w:sz="4" w:space="0" w:color="auto"/>
              <w:left w:val="single" w:sz="4" w:space="0" w:color="auto"/>
              <w:bottom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0,640</w:t>
            </w:r>
          </w:p>
        </w:tc>
        <w:tc>
          <w:tcPr>
            <w:tcW w:w="641" w:type="dxa"/>
            <w:gridSpan w:val="2"/>
            <w:tcBorders>
              <w:top w:val="single" w:sz="4" w:space="0" w:color="auto"/>
              <w:left w:val="nil"/>
              <w:bottom w:val="single" w:sz="4" w:space="0" w:color="auto"/>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1,676</w:t>
            </w:r>
          </w:p>
        </w:tc>
        <w:tc>
          <w:tcPr>
            <w:tcW w:w="590" w:type="dxa"/>
            <w:gridSpan w:val="2"/>
            <w:tcBorders>
              <w:top w:val="single" w:sz="4" w:space="0" w:color="auto"/>
              <w:left w:val="single" w:sz="4" w:space="0" w:color="auto"/>
              <w:bottom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0,681</w:t>
            </w:r>
          </w:p>
        </w:tc>
        <w:tc>
          <w:tcPr>
            <w:tcW w:w="641" w:type="dxa"/>
            <w:tcBorders>
              <w:top w:val="single" w:sz="4" w:space="0" w:color="auto"/>
              <w:left w:val="nil"/>
              <w:bottom w:val="single" w:sz="4" w:space="0" w:color="auto"/>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1,726</w:t>
            </w:r>
          </w:p>
        </w:tc>
        <w:tc>
          <w:tcPr>
            <w:tcW w:w="590" w:type="dxa"/>
            <w:tcBorders>
              <w:top w:val="single" w:sz="4" w:space="0" w:color="auto"/>
              <w:left w:val="single" w:sz="4" w:space="0" w:color="auto"/>
              <w:bottom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0,742</w:t>
            </w:r>
          </w:p>
        </w:tc>
        <w:tc>
          <w:tcPr>
            <w:tcW w:w="641" w:type="dxa"/>
            <w:tcBorders>
              <w:top w:val="single" w:sz="4" w:space="0" w:color="auto"/>
              <w:left w:val="nil"/>
              <w:bottom w:val="single" w:sz="4" w:space="0" w:color="auto"/>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1,689</w:t>
            </w:r>
          </w:p>
        </w:tc>
        <w:tc>
          <w:tcPr>
            <w:tcW w:w="627" w:type="dxa"/>
            <w:tcBorders>
              <w:top w:val="single" w:sz="4" w:space="0" w:color="auto"/>
              <w:left w:val="nil"/>
              <w:bottom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0,812</w:t>
            </w:r>
          </w:p>
        </w:tc>
        <w:tc>
          <w:tcPr>
            <w:tcW w:w="704" w:type="dxa"/>
            <w:tcBorders>
              <w:top w:val="single" w:sz="4" w:space="0" w:color="auto"/>
              <w:left w:val="nil"/>
              <w:bottom w:val="single" w:sz="4" w:space="0" w:color="auto"/>
              <w:right w:val="single" w:sz="4" w:space="0" w:color="auto"/>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1,599</w:t>
            </w:r>
          </w:p>
        </w:tc>
        <w:tc>
          <w:tcPr>
            <w:tcW w:w="593" w:type="dxa"/>
            <w:tcBorders>
              <w:top w:val="single" w:sz="4" w:space="0" w:color="auto"/>
              <w:left w:val="nil"/>
              <w:bottom w:val="single" w:sz="4" w:space="0" w:color="auto"/>
              <w:right w:val="nil"/>
            </w:tcBorders>
            <w:shd w:val="clear" w:color="auto" w:fill="auto"/>
            <w:noWrap/>
            <w:vAlign w:val="bottom"/>
            <w:hideMark/>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0,838</w:t>
            </w:r>
          </w:p>
        </w:tc>
        <w:tc>
          <w:tcPr>
            <w:tcW w:w="641" w:type="dxa"/>
            <w:tcBorders>
              <w:top w:val="single" w:sz="4" w:space="0" w:color="auto"/>
              <w:left w:val="nil"/>
              <w:bottom w:val="single" w:sz="4" w:space="0" w:color="auto"/>
              <w:right w:val="nil"/>
            </w:tcBorders>
            <w:vAlign w:val="bottom"/>
          </w:tcPr>
          <w:p w:rsidR="005812B8" w:rsidRPr="00E50917" w:rsidRDefault="005812B8" w:rsidP="007C323B">
            <w:pPr>
              <w:spacing w:after="0" w:line="240" w:lineRule="auto"/>
              <w:jc w:val="right"/>
              <w:rPr>
                <w:rFonts w:ascii="Times New Roman" w:hAnsi="Times New Roman" w:cs="Times New Roman"/>
                <w:color w:val="000000"/>
                <w:sz w:val="20"/>
                <w:szCs w:val="20"/>
              </w:rPr>
            </w:pPr>
            <w:r w:rsidRPr="00E50917">
              <w:rPr>
                <w:rFonts w:ascii="Times New Roman" w:hAnsi="Times New Roman" w:cs="Times New Roman"/>
                <w:color w:val="000000"/>
                <w:sz w:val="20"/>
                <w:szCs w:val="20"/>
              </w:rPr>
              <w:t>1,532</w:t>
            </w:r>
          </w:p>
        </w:tc>
      </w:tr>
    </w:tbl>
    <w:p w:rsidR="00834206" w:rsidRPr="00834206" w:rsidRDefault="00834206" w:rsidP="00834206">
      <w:pPr>
        <w:spacing w:line="240" w:lineRule="auto"/>
        <w:jc w:val="center"/>
        <w:rPr>
          <w:rStyle w:val="Hyperlink"/>
          <w:rFonts w:ascii="Times New Roman" w:hAnsi="Times New Roman" w:cs="Times New Roman"/>
          <w:color w:val="FF0000"/>
          <w:sz w:val="24"/>
          <w:szCs w:val="24"/>
          <w:u w:val="none"/>
        </w:rPr>
      </w:pPr>
      <w:r w:rsidRPr="00834206">
        <w:rPr>
          <w:rFonts w:ascii="Times New Roman" w:eastAsia="Times New Roman" w:hAnsi="Times New Roman" w:cs="Times New Roman"/>
          <w:bCs/>
          <w:color w:val="000000"/>
          <w:sz w:val="20"/>
          <w:szCs w:val="20"/>
          <w:lang w:eastAsia="pt-BR"/>
        </w:rPr>
        <w:t>Fonte:</w:t>
      </w:r>
      <w:r w:rsidRPr="00834206">
        <w:rPr>
          <w:rFonts w:ascii="Times New Roman" w:eastAsia="Times New Roman" w:hAnsi="Times New Roman" w:cs="Times New Roman"/>
          <w:color w:val="000000"/>
          <w:sz w:val="20"/>
          <w:szCs w:val="20"/>
          <w:lang w:eastAsia="pt-BR"/>
        </w:rPr>
        <w:t xml:space="preserve"> Elaboração Própria: IBGE - PIB dos Municípios/ RAIZ/CAGED /SUFRAMA, 2002-2012.</w:t>
      </w:r>
    </w:p>
    <w:p w:rsidR="00E87B55" w:rsidRDefault="00E87B55" w:rsidP="00F41A50">
      <w:pPr>
        <w:spacing w:line="240" w:lineRule="auto"/>
        <w:ind w:firstLine="709"/>
        <w:jc w:val="both"/>
        <w:rPr>
          <w:rStyle w:val="Hyperlink"/>
          <w:rFonts w:ascii="Times New Roman" w:hAnsi="Times New Roman" w:cs="Times New Roman"/>
          <w:color w:val="auto"/>
          <w:sz w:val="24"/>
          <w:szCs w:val="24"/>
          <w:u w:val="none"/>
        </w:rPr>
      </w:pPr>
    </w:p>
    <w:p w:rsidR="00F41A50" w:rsidRPr="00FB4155" w:rsidRDefault="00FB4155" w:rsidP="00F41A50">
      <w:pPr>
        <w:spacing w:line="240" w:lineRule="auto"/>
        <w:ind w:firstLine="709"/>
        <w:jc w:val="both"/>
        <w:rPr>
          <w:rStyle w:val="Hyperlink"/>
          <w:rFonts w:ascii="Times New Roman" w:hAnsi="Times New Roman" w:cs="Times New Roman"/>
          <w:color w:val="auto"/>
          <w:sz w:val="24"/>
          <w:szCs w:val="24"/>
          <w:u w:val="none"/>
        </w:rPr>
      </w:pPr>
      <w:r w:rsidRPr="00FB4155">
        <w:rPr>
          <w:rStyle w:val="Hyperlink"/>
          <w:rFonts w:ascii="Times New Roman" w:hAnsi="Times New Roman" w:cs="Times New Roman"/>
          <w:color w:val="auto"/>
          <w:sz w:val="24"/>
          <w:szCs w:val="24"/>
          <w:u w:val="none"/>
        </w:rPr>
        <w:t xml:space="preserve">Além disso, </w:t>
      </w:r>
      <w:r w:rsidR="00F41A50" w:rsidRPr="00FB4155">
        <w:rPr>
          <w:rStyle w:val="Hyperlink"/>
          <w:rFonts w:ascii="Times New Roman" w:hAnsi="Times New Roman" w:cs="Times New Roman"/>
          <w:color w:val="auto"/>
          <w:sz w:val="24"/>
          <w:szCs w:val="24"/>
          <w:u w:val="none"/>
        </w:rPr>
        <w:t xml:space="preserve">75% da desigualdade existente entre a renda da população é explicada por diferenças dentro das mesorregiões e essa disparidade reduziu significativamente de 2002 a 2012. Essa redução possivelmente está relacionada à entrada de investimento no estado entre o período analisado e que teve como impacto uma melhora na renda dos Pernambucanos. </w:t>
      </w:r>
    </w:p>
    <w:p w:rsidR="006714A0" w:rsidRDefault="006714A0" w:rsidP="006714A0">
      <w:pPr>
        <w:spacing w:after="0"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Com relação a</w:t>
      </w:r>
      <w:r w:rsidR="00024C92">
        <w:rPr>
          <w:rStyle w:val="Hyperlink"/>
          <w:rFonts w:ascii="Times New Roman" w:hAnsi="Times New Roman" w:cs="Times New Roman"/>
          <w:color w:val="auto"/>
          <w:sz w:val="24"/>
          <w:szCs w:val="24"/>
          <w:u w:val="none"/>
        </w:rPr>
        <w:t xml:space="preserve">o índice </w:t>
      </w:r>
      <w:r w:rsidR="009A4E27">
        <w:rPr>
          <w:rStyle w:val="Hyperlink"/>
          <w:rFonts w:ascii="Times New Roman" w:hAnsi="Times New Roman" w:cs="Times New Roman"/>
          <w:color w:val="auto"/>
          <w:sz w:val="24"/>
          <w:szCs w:val="24"/>
          <w:u w:val="none"/>
        </w:rPr>
        <w:t>de Theil-T para as microrregiões na decomposição em dois níveis</w:t>
      </w:r>
      <w:r w:rsidR="001161EE">
        <w:rPr>
          <w:rStyle w:val="Hyperlink"/>
          <w:rFonts w:ascii="Times New Roman" w:hAnsi="Times New Roman" w:cs="Times New Roman"/>
          <w:color w:val="auto"/>
          <w:sz w:val="24"/>
          <w:szCs w:val="24"/>
          <w:u w:val="none"/>
        </w:rPr>
        <w:t xml:space="preserve"> é</w:t>
      </w:r>
      <w:r w:rsidR="00375AEC">
        <w:rPr>
          <w:rStyle w:val="Hyperlink"/>
          <w:rFonts w:ascii="Times New Roman" w:hAnsi="Times New Roman" w:cs="Times New Roman"/>
          <w:color w:val="auto"/>
          <w:sz w:val="24"/>
          <w:szCs w:val="24"/>
          <w:u w:val="none"/>
        </w:rPr>
        <w:t xml:space="preserve"> possível observar</w:t>
      </w:r>
      <w:r>
        <w:rPr>
          <w:rStyle w:val="Hyperlink"/>
          <w:rFonts w:ascii="Times New Roman" w:hAnsi="Times New Roman" w:cs="Times New Roman"/>
          <w:color w:val="auto"/>
          <w:sz w:val="24"/>
          <w:szCs w:val="24"/>
          <w:u w:val="none"/>
        </w:rPr>
        <w:t xml:space="preserve"> (Tabela 5)</w:t>
      </w:r>
      <w:r w:rsidR="00375AEC">
        <w:rPr>
          <w:rStyle w:val="Hyperlink"/>
          <w:rFonts w:ascii="Times New Roman" w:hAnsi="Times New Roman" w:cs="Times New Roman"/>
          <w:color w:val="auto"/>
          <w:sz w:val="24"/>
          <w:szCs w:val="24"/>
          <w:u w:val="none"/>
        </w:rPr>
        <w:t xml:space="preserve"> que para as microrregiões de Araripina, Salgueiro, Paj</w:t>
      </w:r>
      <w:r w:rsidR="008B5F64">
        <w:rPr>
          <w:rStyle w:val="Hyperlink"/>
          <w:rFonts w:ascii="Times New Roman" w:hAnsi="Times New Roman" w:cs="Times New Roman"/>
          <w:color w:val="auto"/>
          <w:sz w:val="24"/>
          <w:szCs w:val="24"/>
          <w:u w:val="none"/>
        </w:rPr>
        <w:t>eu, Agreste, Ipojuca</w:t>
      </w:r>
      <w:r w:rsidR="00375AEC">
        <w:rPr>
          <w:rStyle w:val="Hyperlink"/>
          <w:rFonts w:ascii="Times New Roman" w:hAnsi="Times New Roman" w:cs="Times New Roman"/>
          <w:color w:val="auto"/>
          <w:sz w:val="24"/>
          <w:szCs w:val="24"/>
          <w:u w:val="none"/>
        </w:rPr>
        <w:t xml:space="preserve">, Santo Antão e Suape </w:t>
      </w:r>
      <w:r w:rsidR="006A02BF">
        <w:rPr>
          <w:rStyle w:val="Hyperlink"/>
          <w:rFonts w:ascii="Times New Roman" w:hAnsi="Times New Roman" w:cs="Times New Roman"/>
          <w:color w:val="auto"/>
          <w:sz w:val="24"/>
          <w:szCs w:val="24"/>
          <w:u w:val="none"/>
        </w:rPr>
        <w:t xml:space="preserve">o índice de </w:t>
      </w:r>
      <w:r w:rsidR="008B5F64">
        <w:rPr>
          <w:rStyle w:val="Hyperlink"/>
          <w:rFonts w:ascii="Times New Roman" w:hAnsi="Times New Roman" w:cs="Times New Roman"/>
          <w:color w:val="auto"/>
          <w:sz w:val="24"/>
          <w:szCs w:val="24"/>
          <w:u w:val="none"/>
        </w:rPr>
        <w:t>Theil-T de 2002</w:t>
      </w:r>
      <w:r w:rsidR="009A64F0">
        <w:rPr>
          <w:rStyle w:val="Hyperlink"/>
          <w:rFonts w:ascii="Times New Roman" w:hAnsi="Times New Roman" w:cs="Times New Roman"/>
          <w:color w:val="auto"/>
          <w:sz w:val="24"/>
          <w:szCs w:val="24"/>
          <w:u w:val="none"/>
        </w:rPr>
        <w:t>-2012, aumentou</w:t>
      </w:r>
      <w:r w:rsidR="006A02BF">
        <w:rPr>
          <w:rStyle w:val="Hyperlink"/>
          <w:rFonts w:ascii="Times New Roman" w:hAnsi="Times New Roman" w:cs="Times New Roman"/>
          <w:color w:val="auto"/>
          <w:sz w:val="24"/>
          <w:szCs w:val="24"/>
          <w:u w:val="none"/>
        </w:rPr>
        <w:t xml:space="preserve"> a desigualdade, </w:t>
      </w:r>
      <w:r w:rsidR="009F5418">
        <w:rPr>
          <w:rStyle w:val="Hyperlink"/>
          <w:rFonts w:ascii="Times New Roman" w:hAnsi="Times New Roman" w:cs="Times New Roman"/>
          <w:color w:val="auto"/>
          <w:sz w:val="24"/>
          <w:szCs w:val="24"/>
          <w:u w:val="none"/>
        </w:rPr>
        <w:t xml:space="preserve">sendo que </w:t>
      </w:r>
      <w:r w:rsidR="006A02BF">
        <w:rPr>
          <w:rStyle w:val="Hyperlink"/>
          <w:rFonts w:ascii="Times New Roman" w:hAnsi="Times New Roman" w:cs="Times New Roman"/>
          <w:color w:val="auto"/>
          <w:sz w:val="24"/>
          <w:szCs w:val="24"/>
          <w:u w:val="none"/>
        </w:rPr>
        <w:t xml:space="preserve">em algumas microrregiões foram aumentos sensivelmente pequenos, já para </w:t>
      </w:r>
      <w:r w:rsidR="009F5418">
        <w:rPr>
          <w:rStyle w:val="Hyperlink"/>
          <w:rFonts w:ascii="Times New Roman" w:hAnsi="Times New Roman" w:cs="Times New Roman"/>
          <w:color w:val="auto"/>
          <w:sz w:val="24"/>
          <w:szCs w:val="24"/>
          <w:u w:val="none"/>
        </w:rPr>
        <w:t>a microrregião de</w:t>
      </w:r>
      <w:r w:rsidR="006A02BF">
        <w:rPr>
          <w:rStyle w:val="Hyperlink"/>
          <w:rFonts w:ascii="Times New Roman" w:hAnsi="Times New Roman" w:cs="Times New Roman"/>
          <w:color w:val="auto"/>
          <w:sz w:val="24"/>
          <w:szCs w:val="24"/>
          <w:u w:val="none"/>
        </w:rPr>
        <w:t xml:space="preserve"> Santa Antão</w:t>
      </w:r>
      <w:r w:rsidR="009F5418">
        <w:rPr>
          <w:rStyle w:val="Hyperlink"/>
          <w:rFonts w:ascii="Times New Roman" w:hAnsi="Times New Roman" w:cs="Times New Roman"/>
          <w:color w:val="auto"/>
          <w:sz w:val="24"/>
          <w:szCs w:val="24"/>
          <w:u w:val="none"/>
        </w:rPr>
        <w:t>,</w:t>
      </w:r>
      <w:r w:rsidR="008B5F64">
        <w:rPr>
          <w:rStyle w:val="Hyperlink"/>
          <w:rFonts w:ascii="Times New Roman" w:hAnsi="Times New Roman" w:cs="Times New Roman"/>
          <w:color w:val="auto"/>
          <w:sz w:val="24"/>
          <w:szCs w:val="24"/>
          <w:u w:val="none"/>
        </w:rPr>
        <w:t xml:space="preserve"> o índice subiu cerca de 167% de 2002-2012 mesmo o município de</w:t>
      </w:r>
      <w:r w:rsidR="00AD10BA">
        <w:rPr>
          <w:rStyle w:val="Hyperlink"/>
          <w:rFonts w:ascii="Times New Roman" w:hAnsi="Times New Roman" w:cs="Times New Roman"/>
          <w:color w:val="auto"/>
          <w:sz w:val="24"/>
          <w:szCs w:val="24"/>
          <w:u w:val="none"/>
        </w:rPr>
        <w:t xml:space="preserve"> Vitória de Santo Antão atrai</w:t>
      </w:r>
      <w:r w:rsidR="008B5F64">
        <w:rPr>
          <w:rStyle w:val="Hyperlink"/>
          <w:rFonts w:ascii="Times New Roman" w:hAnsi="Times New Roman" w:cs="Times New Roman"/>
          <w:color w:val="auto"/>
          <w:sz w:val="24"/>
          <w:szCs w:val="24"/>
          <w:u w:val="none"/>
        </w:rPr>
        <w:t>ndo</w:t>
      </w:r>
      <w:r w:rsidR="00AD10BA">
        <w:rPr>
          <w:rStyle w:val="Hyperlink"/>
          <w:rFonts w:ascii="Times New Roman" w:hAnsi="Times New Roman" w:cs="Times New Roman"/>
          <w:color w:val="auto"/>
          <w:sz w:val="24"/>
          <w:szCs w:val="24"/>
          <w:u w:val="none"/>
        </w:rPr>
        <w:t xml:space="preserve"> nos últimos anos o setor industrial, principalmente, a indústria alimentícia.  </w:t>
      </w:r>
    </w:p>
    <w:p w:rsidR="006714A0" w:rsidRDefault="006714A0" w:rsidP="006714A0">
      <w:pPr>
        <w:spacing w:after="0" w:line="240" w:lineRule="auto"/>
        <w:ind w:firstLine="709"/>
        <w:jc w:val="both"/>
        <w:rPr>
          <w:rStyle w:val="Hyperlink"/>
          <w:rFonts w:ascii="Times New Roman" w:hAnsi="Times New Roman" w:cs="Times New Roman"/>
          <w:color w:val="auto"/>
          <w:sz w:val="24"/>
          <w:szCs w:val="24"/>
          <w:u w:val="none"/>
        </w:rPr>
      </w:pPr>
    </w:p>
    <w:p w:rsidR="00AD10BA" w:rsidRDefault="000D3B6A" w:rsidP="006714A0">
      <w:pPr>
        <w:spacing w:after="0" w:line="240" w:lineRule="auto"/>
        <w:jc w:val="center"/>
        <w:rPr>
          <w:rStyle w:val="Hyperlink"/>
          <w:rFonts w:ascii="Times New Roman" w:hAnsi="Times New Roman" w:cs="Times New Roman"/>
          <w:color w:val="auto"/>
          <w:sz w:val="24"/>
          <w:szCs w:val="24"/>
          <w:u w:val="none"/>
        </w:rPr>
      </w:pPr>
      <w:r w:rsidRPr="00AB0B0F">
        <w:rPr>
          <w:rFonts w:ascii="Times New Roman" w:eastAsia="Times New Roman" w:hAnsi="Times New Roman" w:cs="Times New Roman"/>
          <w:bCs/>
          <w:color w:val="000000"/>
          <w:sz w:val="24"/>
          <w:szCs w:val="24"/>
          <w:lang w:eastAsia="pt-BR"/>
        </w:rPr>
        <w:t xml:space="preserve">Tabela 5 - </w:t>
      </w:r>
      <w:r w:rsidRPr="00EA3718">
        <w:rPr>
          <w:rFonts w:ascii="Times New Roman" w:eastAsia="Times New Roman" w:hAnsi="Times New Roman" w:cs="Times New Roman"/>
          <w:bCs/>
          <w:color w:val="000000"/>
          <w:sz w:val="24"/>
          <w:szCs w:val="24"/>
          <w:lang w:eastAsia="pt-BR"/>
        </w:rPr>
        <w:t>Índice</w:t>
      </w:r>
      <w:r>
        <w:rPr>
          <w:rFonts w:ascii="Times New Roman" w:eastAsia="Times New Roman" w:hAnsi="Times New Roman" w:cs="Times New Roman"/>
          <w:bCs/>
          <w:color w:val="000000"/>
          <w:sz w:val="24"/>
          <w:szCs w:val="24"/>
          <w:lang w:eastAsia="pt-BR"/>
        </w:rPr>
        <w:t xml:space="preserve"> de disparidade (PIB) Theil-T para as Microrregiões de</w:t>
      </w:r>
      <w:r w:rsidRPr="00EA3718">
        <w:rPr>
          <w:rFonts w:ascii="Times New Roman" w:eastAsia="Times New Roman" w:hAnsi="Times New Roman" w:cs="Times New Roman"/>
          <w:bCs/>
          <w:color w:val="000000"/>
          <w:sz w:val="24"/>
          <w:szCs w:val="24"/>
          <w:lang w:eastAsia="pt-BR"/>
        </w:rPr>
        <w:t xml:space="preserve"> Pernambuco</w:t>
      </w:r>
    </w:p>
    <w:tbl>
      <w:tblPr>
        <w:tblW w:w="8729" w:type="dxa"/>
        <w:tblInd w:w="70" w:type="dxa"/>
        <w:tblCellMar>
          <w:left w:w="70" w:type="dxa"/>
          <w:right w:w="70" w:type="dxa"/>
        </w:tblCellMar>
        <w:tblLook w:val="04A0" w:firstRow="1" w:lastRow="0" w:firstColumn="1" w:lastColumn="0" w:noHBand="0" w:noVBand="1"/>
      </w:tblPr>
      <w:tblGrid>
        <w:gridCol w:w="1229"/>
        <w:gridCol w:w="623"/>
        <w:gridCol w:w="590"/>
        <w:gridCol w:w="785"/>
        <w:gridCol w:w="590"/>
        <w:gridCol w:w="590"/>
        <w:gridCol w:w="590"/>
        <w:gridCol w:w="590"/>
        <w:gridCol w:w="650"/>
        <w:gridCol w:w="686"/>
        <w:gridCol w:w="590"/>
        <w:gridCol w:w="626"/>
        <w:gridCol w:w="590"/>
      </w:tblGrid>
      <w:tr w:rsidR="005672C8" w:rsidRPr="000F3A07" w:rsidTr="00176ED4">
        <w:trPr>
          <w:trHeight w:val="300"/>
        </w:trPr>
        <w:tc>
          <w:tcPr>
            <w:tcW w:w="1229" w:type="dxa"/>
            <w:tcBorders>
              <w:left w:val="nil"/>
            </w:tcBorders>
            <w:shd w:val="clear" w:color="auto" w:fill="auto"/>
            <w:noWrap/>
            <w:vAlign w:val="bottom"/>
            <w:hideMark/>
          </w:tcPr>
          <w:p w:rsidR="00E4384E" w:rsidRPr="005631A3" w:rsidRDefault="00E4384E" w:rsidP="008E725D">
            <w:pPr>
              <w:spacing w:after="0" w:line="240" w:lineRule="auto"/>
              <w:rPr>
                <w:rFonts w:ascii="Times New Roman" w:eastAsia="Times New Roman" w:hAnsi="Times New Roman" w:cs="Times New Roman"/>
                <w:color w:val="000000"/>
                <w:sz w:val="20"/>
                <w:szCs w:val="20"/>
                <w:lang w:eastAsia="pt-BR"/>
              </w:rPr>
            </w:pPr>
          </w:p>
        </w:tc>
        <w:tc>
          <w:tcPr>
            <w:tcW w:w="1213" w:type="dxa"/>
            <w:gridSpan w:val="2"/>
            <w:tcBorders>
              <w:top w:val="single" w:sz="4" w:space="0" w:color="auto"/>
              <w:left w:val="nil"/>
              <w:bottom w:val="single" w:sz="4" w:space="0" w:color="auto"/>
              <w:right w:val="single" w:sz="4" w:space="0" w:color="auto"/>
            </w:tcBorders>
            <w:shd w:val="clear" w:color="auto" w:fill="auto"/>
            <w:noWrap/>
            <w:vAlign w:val="center"/>
            <w:hideMark/>
          </w:tcPr>
          <w:p w:rsidR="00E4384E" w:rsidRPr="005631A3" w:rsidRDefault="00E4384E" w:rsidP="008E725D">
            <w:pPr>
              <w:spacing w:after="0" w:line="240" w:lineRule="auto"/>
              <w:jc w:val="center"/>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2002</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4E" w:rsidRPr="005631A3" w:rsidRDefault="00E4384E" w:rsidP="008E725D">
            <w:pPr>
              <w:spacing w:after="0" w:line="240" w:lineRule="auto"/>
              <w:jc w:val="center"/>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2004</w:t>
            </w:r>
          </w:p>
        </w:tc>
        <w:tc>
          <w:tcPr>
            <w:tcW w:w="1180" w:type="dxa"/>
            <w:gridSpan w:val="2"/>
            <w:tcBorders>
              <w:top w:val="single" w:sz="4" w:space="0" w:color="auto"/>
              <w:left w:val="single" w:sz="4" w:space="0" w:color="auto"/>
              <w:bottom w:val="single" w:sz="4" w:space="0" w:color="auto"/>
              <w:right w:val="single" w:sz="4" w:space="0" w:color="auto"/>
            </w:tcBorders>
            <w:vAlign w:val="center"/>
          </w:tcPr>
          <w:p w:rsidR="00E4384E" w:rsidRPr="005631A3" w:rsidRDefault="00E4384E" w:rsidP="008E725D">
            <w:pPr>
              <w:spacing w:after="0" w:line="240" w:lineRule="auto"/>
              <w:jc w:val="center"/>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2006</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E4384E" w:rsidRPr="005631A3" w:rsidRDefault="00E4384E" w:rsidP="008E725D">
            <w:pPr>
              <w:spacing w:after="0" w:line="240" w:lineRule="auto"/>
              <w:jc w:val="center"/>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2008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4384E" w:rsidRPr="005631A3" w:rsidRDefault="00E4384E" w:rsidP="008E725D">
            <w:pPr>
              <w:spacing w:after="0" w:line="240" w:lineRule="auto"/>
              <w:jc w:val="center"/>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2010</w:t>
            </w:r>
          </w:p>
        </w:tc>
        <w:tc>
          <w:tcPr>
            <w:tcW w:w="1216" w:type="dxa"/>
            <w:gridSpan w:val="2"/>
            <w:tcBorders>
              <w:top w:val="single" w:sz="4" w:space="0" w:color="auto"/>
              <w:left w:val="single" w:sz="4" w:space="0" w:color="auto"/>
              <w:bottom w:val="single" w:sz="4" w:space="0" w:color="auto"/>
              <w:right w:val="nil"/>
            </w:tcBorders>
            <w:vAlign w:val="center"/>
          </w:tcPr>
          <w:p w:rsidR="00E4384E" w:rsidRPr="005631A3" w:rsidRDefault="00E4384E" w:rsidP="008E725D">
            <w:pPr>
              <w:spacing w:after="0" w:line="240" w:lineRule="auto"/>
              <w:jc w:val="center"/>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2012</w:t>
            </w:r>
          </w:p>
        </w:tc>
      </w:tr>
      <w:tr w:rsidR="008E725D" w:rsidRPr="000F3A07" w:rsidTr="00176ED4">
        <w:trPr>
          <w:trHeight w:val="300"/>
        </w:trPr>
        <w:tc>
          <w:tcPr>
            <w:tcW w:w="1229" w:type="dxa"/>
            <w:tcBorders>
              <w:left w:val="nil"/>
              <w:bottom w:val="single" w:sz="4" w:space="0" w:color="auto"/>
            </w:tcBorders>
            <w:shd w:val="clear" w:color="auto" w:fill="auto"/>
            <w:noWrap/>
            <w:vAlign w:val="bottom"/>
            <w:hideMark/>
          </w:tcPr>
          <w:p w:rsidR="008E725D" w:rsidRPr="005631A3" w:rsidRDefault="008E725D" w:rsidP="008E725D">
            <w:pPr>
              <w:spacing w:after="0" w:line="240" w:lineRule="auto"/>
              <w:rPr>
                <w:rFonts w:ascii="Times New Roman" w:eastAsia="Times New Roman" w:hAnsi="Times New Roman" w:cs="Times New Roman"/>
                <w:b/>
                <w:color w:val="000000"/>
                <w:sz w:val="20"/>
                <w:szCs w:val="20"/>
                <w:lang w:eastAsia="pt-BR"/>
              </w:rPr>
            </w:pPr>
          </w:p>
        </w:tc>
        <w:tc>
          <w:tcPr>
            <w:tcW w:w="623" w:type="dxa"/>
            <w:tcBorders>
              <w:top w:val="single" w:sz="4" w:space="0" w:color="auto"/>
              <w:left w:val="nil"/>
              <w:bottom w:val="nil"/>
              <w:right w:val="nil"/>
            </w:tcBorders>
            <w:shd w:val="clear" w:color="auto" w:fill="auto"/>
            <w:noWrap/>
            <w:vAlign w:val="center"/>
            <w:hideMark/>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PIB</w:t>
            </w:r>
          </w:p>
        </w:tc>
        <w:tc>
          <w:tcPr>
            <w:tcW w:w="590" w:type="dxa"/>
            <w:tcBorders>
              <w:top w:val="single" w:sz="4" w:space="0" w:color="auto"/>
              <w:left w:val="nil"/>
              <w:bottom w:val="nil"/>
              <w:right w:val="single" w:sz="4" w:space="0" w:color="auto"/>
            </w:tcBorders>
            <w:vAlign w:val="center"/>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Renda</w:t>
            </w:r>
          </w:p>
        </w:tc>
        <w:tc>
          <w:tcPr>
            <w:tcW w:w="785" w:type="dxa"/>
            <w:tcBorders>
              <w:top w:val="single" w:sz="4" w:space="0" w:color="auto"/>
              <w:left w:val="single" w:sz="4" w:space="0" w:color="auto"/>
              <w:bottom w:val="nil"/>
              <w:right w:val="nil"/>
            </w:tcBorders>
            <w:shd w:val="clear" w:color="auto" w:fill="auto"/>
            <w:noWrap/>
            <w:vAlign w:val="center"/>
            <w:hideMark/>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PIB</w:t>
            </w:r>
          </w:p>
        </w:tc>
        <w:tc>
          <w:tcPr>
            <w:tcW w:w="590" w:type="dxa"/>
            <w:tcBorders>
              <w:top w:val="single" w:sz="4" w:space="0" w:color="auto"/>
              <w:left w:val="nil"/>
              <w:bottom w:val="nil"/>
              <w:right w:val="single" w:sz="4" w:space="0" w:color="auto"/>
            </w:tcBorders>
            <w:vAlign w:val="center"/>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Renda</w:t>
            </w:r>
          </w:p>
        </w:tc>
        <w:tc>
          <w:tcPr>
            <w:tcW w:w="590" w:type="dxa"/>
            <w:tcBorders>
              <w:top w:val="single" w:sz="4" w:space="0" w:color="auto"/>
              <w:left w:val="single" w:sz="4" w:space="0" w:color="auto"/>
              <w:bottom w:val="nil"/>
              <w:right w:val="nil"/>
            </w:tcBorders>
            <w:shd w:val="clear" w:color="auto" w:fill="auto"/>
            <w:noWrap/>
            <w:vAlign w:val="center"/>
            <w:hideMark/>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PIB</w:t>
            </w:r>
          </w:p>
        </w:tc>
        <w:tc>
          <w:tcPr>
            <w:tcW w:w="590" w:type="dxa"/>
            <w:tcBorders>
              <w:top w:val="single" w:sz="4" w:space="0" w:color="auto"/>
              <w:left w:val="nil"/>
              <w:bottom w:val="nil"/>
              <w:right w:val="single" w:sz="4" w:space="0" w:color="auto"/>
            </w:tcBorders>
            <w:vAlign w:val="center"/>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Renda</w:t>
            </w:r>
          </w:p>
        </w:tc>
        <w:tc>
          <w:tcPr>
            <w:tcW w:w="590" w:type="dxa"/>
            <w:tcBorders>
              <w:top w:val="single" w:sz="4" w:space="0" w:color="auto"/>
              <w:left w:val="single" w:sz="4" w:space="0" w:color="auto"/>
              <w:bottom w:val="nil"/>
              <w:right w:val="nil"/>
            </w:tcBorders>
            <w:shd w:val="clear" w:color="auto" w:fill="auto"/>
            <w:noWrap/>
            <w:vAlign w:val="center"/>
            <w:hideMark/>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PIB</w:t>
            </w:r>
          </w:p>
        </w:tc>
        <w:tc>
          <w:tcPr>
            <w:tcW w:w="650" w:type="dxa"/>
            <w:tcBorders>
              <w:top w:val="single" w:sz="4" w:space="0" w:color="auto"/>
              <w:left w:val="nil"/>
              <w:bottom w:val="nil"/>
              <w:right w:val="single" w:sz="4" w:space="0" w:color="auto"/>
            </w:tcBorders>
            <w:vAlign w:val="center"/>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Renda</w:t>
            </w:r>
          </w:p>
        </w:tc>
        <w:tc>
          <w:tcPr>
            <w:tcW w:w="686" w:type="dxa"/>
            <w:tcBorders>
              <w:top w:val="single" w:sz="4" w:space="0" w:color="auto"/>
              <w:left w:val="single" w:sz="4" w:space="0" w:color="auto"/>
              <w:bottom w:val="nil"/>
              <w:right w:val="nil"/>
            </w:tcBorders>
            <w:shd w:val="clear" w:color="auto" w:fill="auto"/>
            <w:noWrap/>
            <w:vAlign w:val="center"/>
            <w:hideMark/>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PIB</w:t>
            </w:r>
          </w:p>
        </w:tc>
        <w:tc>
          <w:tcPr>
            <w:tcW w:w="590" w:type="dxa"/>
            <w:tcBorders>
              <w:top w:val="single" w:sz="4" w:space="0" w:color="auto"/>
              <w:left w:val="nil"/>
              <w:bottom w:val="nil"/>
              <w:right w:val="single" w:sz="4" w:space="0" w:color="auto"/>
            </w:tcBorders>
            <w:vAlign w:val="center"/>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Renda</w:t>
            </w:r>
          </w:p>
        </w:tc>
        <w:tc>
          <w:tcPr>
            <w:tcW w:w="626" w:type="dxa"/>
            <w:tcBorders>
              <w:top w:val="single" w:sz="4" w:space="0" w:color="auto"/>
              <w:left w:val="single" w:sz="4" w:space="0" w:color="auto"/>
              <w:bottom w:val="nil"/>
              <w:right w:val="nil"/>
            </w:tcBorders>
            <w:shd w:val="clear" w:color="auto" w:fill="auto"/>
            <w:noWrap/>
            <w:vAlign w:val="center"/>
            <w:hideMark/>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PIB</w:t>
            </w:r>
          </w:p>
        </w:tc>
        <w:tc>
          <w:tcPr>
            <w:tcW w:w="590" w:type="dxa"/>
            <w:tcBorders>
              <w:top w:val="single" w:sz="4" w:space="0" w:color="auto"/>
              <w:left w:val="nil"/>
              <w:bottom w:val="nil"/>
              <w:right w:val="nil"/>
            </w:tcBorders>
            <w:vAlign w:val="center"/>
          </w:tcPr>
          <w:p w:rsidR="008E725D" w:rsidRPr="008E725D" w:rsidRDefault="008E725D" w:rsidP="007C323B">
            <w:pPr>
              <w:spacing w:after="0" w:line="240" w:lineRule="auto"/>
              <w:jc w:val="center"/>
              <w:rPr>
                <w:rFonts w:ascii="Times New Roman" w:hAnsi="Times New Roman" w:cs="Times New Roman"/>
                <w:b/>
                <w:color w:val="000000"/>
                <w:sz w:val="16"/>
                <w:szCs w:val="16"/>
              </w:rPr>
            </w:pPr>
            <w:r w:rsidRPr="008E725D">
              <w:rPr>
                <w:rFonts w:ascii="Times New Roman" w:hAnsi="Times New Roman" w:cs="Times New Roman"/>
                <w:b/>
                <w:color w:val="000000"/>
                <w:sz w:val="16"/>
                <w:szCs w:val="16"/>
              </w:rPr>
              <w:t>Renda</w:t>
            </w:r>
          </w:p>
        </w:tc>
      </w:tr>
      <w:tr w:rsidR="005672C8" w:rsidRPr="000F3A07" w:rsidTr="00176ED4">
        <w:trPr>
          <w:trHeight w:val="300"/>
        </w:trPr>
        <w:tc>
          <w:tcPr>
            <w:tcW w:w="1229" w:type="dxa"/>
            <w:tcBorders>
              <w:top w:val="single" w:sz="4" w:space="0" w:color="auto"/>
              <w:left w:val="nil"/>
              <w:bottom w:val="nil"/>
              <w:right w:val="single" w:sz="4" w:space="0" w:color="auto"/>
            </w:tcBorders>
            <w:shd w:val="clear" w:color="auto" w:fill="auto"/>
            <w:noWrap/>
            <w:vAlign w:val="bottom"/>
            <w:hideMark/>
          </w:tcPr>
          <w:p w:rsidR="008E725D" w:rsidRPr="005631A3" w:rsidRDefault="008E725D" w:rsidP="008E725D">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Araripina</w:t>
            </w:r>
          </w:p>
        </w:tc>
        <w:tc>
          <w:tcPr>
            <w:tcW w:w="623" w:type="dxa"/>
            <w:tcBorders>
              <w:top w:val="single" w:sz="4" w:space="0" w:color="auto"/>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0,065</w:t>
            </w:r>
          </w:p>
        </w:tc>
        <w:tc>
          <w:tcPr>
            <w:tcW w:w="590" w:type="dxa"/>
            <w:tcBorders>
              <w:top w:val="single" w:sz="4" w:space="0" w:color="auto"/>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1,317</w:t>
            </w:r>
          </w:p>
        </w:tc>
        <w:tc>
          <w:tcPr>
            <w:tcW w:w="785" w:type="dxa"/>
            <w:tcBorders>
              <w:top w:val="single" w:sz="4" w:space="0" w:color="auto"/>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0,073</w:t>
            </w:r>
          </w:p>
        </w:tc>
        <w:tc>
          <w:tcPr>
            <w:tcW w:w="590" w:type="dxa"/>
            <w:tcBorders>
              <w:top w:val="single" w:sz="4" w:space="0" w:color="auto"/>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1,378</w:t>
            </w:r>
          </w:p>
        </w:tc>
        <w:tc>
          <w:tcPr>
            <w:tcW w:w="590" w:type="dxa"/>
            <w:tcBorders>
              <w:top w:val="single" w:sz="4" w:space="0" w:color="auto"/>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0,084</w:t>
            </w:r>
          </w:p>
        </w:tc>
        <w:tc>
          <w:tcPr>
            <w:tcW w:w="590" w:type="dxa"/>
            <w:tcBorders>
              <w:top w:val="single" w:sz="4" w:space="0" w:color="auto"/>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1,206</w:t>
            </w:r>
          </w:p>
        </w:tc>
        <w:tc>
          <w:tcPr>
            <w:tcW w:w="590" w:type="dxa"/>
            <w:tcBorders>
              <w:top w:val="single" w:sz="4" w:space="0" w:color="auto"/>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0,086</w:t>
            </w:r>
          </w:p>
        </w:tc>
        <w:tc>
          <w:tcPr>
            <w:tcW w:w="650" w:type="dxa"/>
            <w:tcBorders>
              <w:top w:val="single" w:sz="4" w:space="0" w:color="auto"/>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1,296</w:t>
            </w:r>
          </w:p>
        </w:tc>
        <w:tc>
          <w:tcPr>
            <w:tcW w:w="686" w:type="dxa"/>
            <w:tcBorders>
              <w:top w:val="single" w:sz="4" w:space="0" w:color="auto"/>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0,093</w:t>
            </w:r>
          </w:p>
        </w:tc>
        <w:tc>
          <w:tcPr>
            <w:tcW w:w="590" w:type="dxa"/>
            <w:tcBorders>
              <w:top w:val="single" w:sz="4" w:space="0" w:color="auto"/>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1,294</w:t>
            </w:r>
          </w:p>
        </w:tc>
        <w:tc>
          <w:tcPr>
            <w:tcW w:w="626" w:type="dxa"/>
            <w:tcBorders>
              <w:top w:val="single" w:sz="4" w:space="0" w:color="auto"/>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0,097</w:t>
            </w:r>
          </w:p>
        </w:tc>
        <w:tc>
          <w:tcPr>
            <w:tcW w:w="590" w:type="dxa"/>
            <w:tcBorders>
              <w:top w:val="single" w:sz="4" w:space="0" w:color="auto"/>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1,253</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Salgueiro</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0,034</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0,659</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0,670</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0,013</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0,691</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0,027</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0,691</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0,612</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0,083</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0,739</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Pajeu</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1,302</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0,952</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0,999</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0,086</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1,105</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0,124</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1,096</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0,135</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0,861</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Moxoto</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0,908</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1,041</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0,927</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0,020</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0,917</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0,844</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0,030</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0,817</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Itaparica</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0,655</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0,799</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0,719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0,607</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0,509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1,398</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0,574</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1,076</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0,476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0,474</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0,480</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0,496</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Petrolina</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1,839</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1,808</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0,048</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1,668</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0,041</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1,543</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1,625</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0,035</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1,459</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Agreste</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1,129</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1,179</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1,287</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0,017</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1,366</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0,015</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1,503</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0,033</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1,378</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Brejo PE</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0,015</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0,577</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0,311</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0,270</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0,009</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0,306</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0,332</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0,011</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0,273</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Garanhuns</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0,860</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0,053</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0,866</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0,840</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0,057</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0,781</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0,063</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0,814</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0,062</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0,779</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Capibaribe</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0,494</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0,028</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0,456</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0,519</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0,012</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0,598</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0,635</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0,016</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0,428</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Ipanema</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0,237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0,625</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0,270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0,793</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0,265</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0,765</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0,312</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0,826</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0,291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0,668</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0,214</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0,521</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Ipojuca</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1,124</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0,074</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1,207</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0,073</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1,158</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0,077</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1,080</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1,069</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0,075</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1,032</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Setentrional</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0,102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1,008</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0,102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1,128</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0,074</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0,890</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0,079</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0,839</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0,082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0,975</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0,083</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0,899</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Meridional</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0,044</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0,601</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0,042</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0,549</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0,493</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0,036</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0,581</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0,043</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0,487</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0,042</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0,500</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Santo Antão</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0,047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0,940</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0,070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0,766</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0,059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0,804</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0,066</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0,722</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0,090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0,652</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0,126</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0,508</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Itamaracá</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0,330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1,120</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0,286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1,100</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0,246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1,029</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0,232</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0,975</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0,157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0,824</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0,205</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0,926</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Recife</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0,139</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0,937</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0,121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0,966</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0,131</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0,884</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0,122</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0,855</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0,124</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0,805</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0,122</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0,782</w:t>
            </w:r>
          </w:p>
        </w:tc>
      </w:tr>
      <w:tr w:rsidR="005672C8" w:rsidRPr="000F3A07" w:rsidTr="005672C8">
        <w:trPr>
          <w:trHeight w:val="300"/>
        </w:trPr>
        <w:tc>
          <w:tcPr>
            <w:tcW w:w="1229" w:type="dxa"/>
            <w:tcBorders>
              <w:top w:val="nil"/>
              <w:left w:val="nil"/>
              <w:bottom w:val="nil"/>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Suape</w:t>
            </w:r>
          </w:p>
        </w:tc>
        <w:tc>
          <w:tcPr>
            <w:tcW w:w="623"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1,736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2,463</w:t>
            </w:r>
          </w:p>
        </w:tc>
        <w:tc>
          <w:tcPr>
            <w:tcW w:w="785"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1,746</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2,282</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2,220</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2,635</w:t>
            </w:r>
          </w:p>
        </w:tc>
        <w:tc>
          <w:tcPr>
            <w:tcW w:w="590"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2,459</w:t>
            </w:r>
          </w:p>
        </w:tc>
        <w:tc>
          <w:tcPr>
            <w:tcW w:w="65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2,927</w:t>
            </w:r>
          </w:p>
        </w:tc>
        <w:tc>
          <w:tcPr>
            <w:tcW w:w="68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2,717</w:t>
            </w:r>
          </w:p>
        </w:tc>
        <w:tc>
          <w:tcPr>
            <w:tcW w:w="590" w:type="dxa"/>
            <w:tcBorders>
              <w:top w:val="nil"/>
              <w:left w:val="nil"/>
              <w:bottom w:val="nil"/>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3,192</w:t>
            </w:r>
          </w:p>
        </w:tc>
        <w:tc>
          <w:tcPr>
            <w:tcW w:w="626" w:type="dxa"/>
            <w:tcBorders>
              <w:top w:val="nil"/>
              <w:left w:val="single" w:sz="4" w:space="0" w:color="auto"/>
              <w:bottom w:val="nil"/>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2,664</w:t>
            </w:r>
          </w:p>
        </w:tc>
        <w:tc>
          <w:tcPr>
            <w:tcW w:w="590" w:type="dxa"/>
            <w:tcBorders>
              <w:top w:val="nil"/>
              <w:left w:val="nil"/>
              <w:bottom w:val="nil"/>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3,175</w:t>
            </w:r>
          </w:p>
        </w:tc>
      </w:tr>
      <w:tr w:rsidR="005672C8" w:rsidRPr="000F3A07" w:rsidTr="005672C8">
        <w:trPr>
          <w:trHeight w:val="300"/>
        </w:trPr>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8E725D" w:rsidRPr="005631A3" w:rsidRDefault="008E725D" w:rsidP="005631A3">
            <w:pPr>
              <w:spacing w:after="0" w:line="240" w:lineRule="auto"/>
              <w:rPr>
                <w:rFonts w:ascii="Times New Roman" w:eastAsia="Times New Roman" w:hAnsi="Times New Roman" w:cs="Times New Roman"/>
                <w:b/>
                <w:color w:val="000000"/>
                <w:sz w:val="20"/>
                <w:szCs w:val="20"/>
                <w:lang w:eastAsia="pt-BR"/>
              </w:rPr>
            </w:pPr>
            <w:r w:rsidRPr="005631A3">
              <w:rPr>
                <w:rFonts w:ascii="Times New Roman" w:eastAsia="Times New Roman" w:hAnsi="Times New Roman" w:cs="Times New Roman"/>
                <w:b/>
                <w:color w:val="000000"/>
                <w:sz w:val="20"/>
                <w:szCs w:val="20"/>
                <w:lang w:eastAsia="pt-BR"/>
              </w:rPr>
              <w:t>Pernambuco</w:t>
            </w:r>
          </w:p>
        </w:tc>
        <w:tc>
          <w:tcPr>
            <w:tcW w:w="623" w:type="dxa"/>
            <w:tcBorders>
              <w:top w:val="single" w:sz="4" w:space="0" w:color="auto"/>
              <w:left w:val="single" w:sz="4" w:space="0" w:color="auto"/>
              <w:bottom w:val="single" w:sz="4" w:space="0" w:color="auto"/>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0,564</w:t>
            </w:r>
          </w:p>
        </w:tc>
        <w:tc>
          <w:tcPr>
            <w:tcW w:w="590" w:type="dxa"/>
            <w:tcBorders>
              <w:top w:val="single" w:sz="4" w:space="0" w:color="auto"/>
              <w:left w:val="nil"/>
              <w:bottom w:val="single" w:sz="4" w:space="0" w:color="auto"/>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1,742</w:t>
            </w:r>
          </w:p>
        </w:tc>
        <w:tc>
          <w:tcPr>
            <w:tcW w:w="785" w:type="dxa"/>
            <w:tcBorders>
              <w:top w:val="single" w:sz="4" w:space="0" w:color="auto"/>
              <w:left w:val="single" w:sz="4" w:space="0" w:color="auto"/>
              <w:bottom w:val="single" w:sz="4" w:space="0" w:color="auto"/>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0,639</w:t>
            </w:r>
          </w:p>
        </w:tc>
        <w:tc>
          <w:tcPr>
            <w:tcW w:w="590" w:type="dxa"/>
            <w:tcBorders>
              <w:top w:val="single" w:sz="4" w:space="0" w:color="auto"/>
              <w:left w:val="nil"/>
              <w:bottom w:val="single" w:sz="4" w:space="0" w:color="auto"/>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1,676</w:t>
            </w:r>
          </w:p>
        </w:tc>
        <w:tc>
          <w:tcPr>
            <w:tcW w:w="590" w:type="dxa"/>
            <w:tcBorders>
              <w:top w:val="single" w:sz="4" w:space="0" w:color="auto"/>
              <w:left w:val="single" w:sz="4" w:space="0" w:color="auto"/>
              <w:bottom w:val="single" w:sz="4" w:space="0" w:color="auto"/>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0,681</w:t>
            </w:r>
          </w:p>
        </w:tc>
        <w:tc>
          <w:tcPr>
            <w:tcW w:w="590" w:type="dxa"/>
            <w:tcBorders>
              <w:top w:val="single" w:sz="4" w:space="0" w:color="auto"/>
              <w:left w:val="nil"/>
              <w:bottom w:val="single" w:sz="4" w:space="0" w:color="auto"/>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1,726</w:t>
            </w:r>
          </w:p>
        </w:tc>
        <w:tc>
          <w:tcPr>
            <w:tcW w:w="590" w:type="dxa"/>
            <w:tcBorders>
              <w:top w:val="single" w:sz="4" w:space="0" w:color="auto"/>
              <w:left w:val="single" w:sz="4" w:space="0" w:color="auto"/>
              <w:bottom w:val="single" w:sz="4" w:space="0" w:color="auto"/>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0,742</w:t>
            </w:r>
          </w:p>
        </w:tc>
        <w:tc>
          <w:tcPr>
            <w:tcW w:w="650" w:type="dxa"/>
            <w:tcBorders>
              <w:top w:val="single" w:sz="4" w:space="0" w:color="auto"/>
              <w:left w:val="nil"/>
              <w:bottom w:val="single" w:sz="4" w:space="0" w:color="auto"/>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1,689</w:t>
            </w:r>
          </w:p>
        </w:tc>
        <w:tc>
          <w:tcPr>
            <w:tcW w:w="686" w:type="dxa"/>
            <w:tcBorders>
              <w:top w:val="single" w:sz="4" w:space="0" w:color="auto"/>
              <w:left w:val="single" w:sz="4" w:space="0" w:color="auto"/>
              <w:bottom w:val="single" w:sz="4" w:space="0" w:color="auto"/>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0,812</w:t>
            </w:r>
          </w:p>
        </w:tc>
        <w:tc>
          <w:tcPr>
            <w:tcW w:w="590" w:type="dxa"/>
            <w:tcBorders>
              <w:top w:val="single" w:sz="4" w:space="0" w:color="auto"/>
              <w:left w:val="nil"/>
              <w:bottom w:val="single" w:sz="4" w:space="0" w:color="auto"/>
              <w:right w:val="single" w:sz="4" w:space="0" w:color="auto"/>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1,600</w:t>
            </w:r>
          </w:p>
        </w:tc>
        <w:tc>
          <w:tcPr>
            <w:tcW w:w="626" w:type="dxa"/>
            <w:tcBorders>
              <w:top w:val="single" w:sz="4" w:space="0" w:color="auto"/>
              <w:left w:val="single" w:sz="4" w:space="0" w:color="auto"/>
              <w:bottom w:val="single" w:sz="4" w:space="0" w:color="auto"/>
              <w:right w:val="nil"/>
            </w:tcBorders>
            <w:shd w:val="clear" w:color="auto" w:fill="auto"/>
            <w:noWrap/>
            <w:vAlign w:val="bottom"/>
            <w:hideMark/>
          </w:tcPr>
          <w:p w:rsidR="008E725D" w:rsidRPr="005631A3" w:rsidRDefault="008E725D" w:rsidP="005631A3">
            <w:pPr>
              <w:spacing w:after="0" w:line="240" w:lineRule="auto"/>
              <w:jc w:val="center"/>
              <w:rPr>
                <w:rFonts w:ascii="Times New Roman" w:hAnsi="Times New Roman" w:cs="Times New Roman"/>
                <w:color w:val="000000"/>
                <w:sz w:val="20"/>
                <w:szCs w:val="20"/>
              </w:rPr>
            </w:pPr>
            <w:r w:rsidRPr="005631A3">
              <w:rPr>
                <w:rFonts w:ascii="Times New Roman" w:hAnsi="Times New Roman" w:cs="Times New Roman"/>
                <w:color w:val="000000"/>
                <w:sz w:val="20"/>
                <w:szCs w:val="20"/>
              </w:rPr>
              <w:t>0,838</w:t>
            </w:r>
          </w:p>
        </w:tc>
        <w:tc>
          <w:tcPr>
            <w:tcW w:w="590" w:type="dxa"/>
            <w:tcBorders>
              <w:top w:val="single" w:sz="4" w:space="0" w:color="auto"/>
              <w:left w:val="nil"/>
              <w:bottom w:val="single" w:sz="4" w:space="0" w:color="auto"/>
              <w:right w:val="nil"/>
            </w:tcBorders>
            <w:vAlign w:val="bottom"/>
          </w:tcPr>
          <w:p w:rsidR="008E725D" w:rsidRPr="005631A3" w:rsidRDefault="008E725D" w:rsidP="005631A3">
            <w:pPr>
              <w:spacing w:after="0" w:line="240" w:lineRule="auto"/>
              <w:jc w:val="right"/>
              <w:rPr>
                <w:rFonts w:ascii="Times New Roman" w:hAnsi="Times New Roman" w:cs="Times New Roman"/>
                <w:color w:val="000000"/>
                <w:sz w:val="20"/>
                <w:szCs w:val="20"/>
              </w:rPr>
            </w:pPr>
            <w:r w:rsidRPr="005631A3">
              <w:rPr>
                <w:rFonts w:ascii="Times New Roman" w:hAnsi="Times New Roman" w:cs="Times New Roman"/>
                <w:color w:val="000000"/>
                <w:sz w:val="20"/>
                <w:szCs w:val="20"/>
              </w:rPr>
              <w:t>1,532</w:t>
            </w:r>
          </w:p>
        </w:tc>
      </w:tr>
    </w:tbl>
    <w:p w:rsidR="00E87B55" w:rsidRPr="00834206" w:rsidRDefault="00E87B55" w:rsidP="00E87B55">
      <w:pPr>
        <w:spacing w:line="240" w:lineRule="auto"/>
        <w:jc w:val="center"/>
        <w:rPr>
          <w:rStyle w:val="Hyperlink"/>
          <w:rFonts w:ascii="Times New Roman" w:hAnsi="Times New Roman" w:cs="Times New Roman"/>
          <w:color w:val="FF0000"/>
          <w:sz w:val="24"/>
          <w:szCs w:val="24"/>
          <w:u w:val="none"/>
        </w:rPr>
      </w:pPr>
      <w:r w:rsidRPr="00834206">
        <w:rPr>
          <w:rFonts w:ascii="Times New Roman" w:eastAsia="Times New Roman" w:hAnsi="Times New Roman" w:cs="Times New Roman"/>
          <w:bCs/>
          <w:color w:val="000000"/>
          <w:sz w:val="20"/>
          <w:szCs w:val="20"/>
          <w:lang w:eastAsia="pt-BR"/>
        </w:rPr>
        <w:t>Fonte:</w:t>
      </w:r>
      <w:r w:rsidRPr="00834206">
        <w:rPr>
          <w:rFonts w:ascii="Times New Roman" w:eastAsia="Times New Roman" w:hAnsi="Times New Roman" w:cs="Times New Roman"/>
          <w:color w:val="000000"/>
          <w:sz w:val="20"/>
          <w:szCs w:val="20"/>
          <w:lang w:eastAsia="pt-BR"/>
        </w:rPr>
        <w:t xml:space="preserve"> Elaboração Própria: IBGE - PIB dos Municípios/ RAIZ/CAGED /SUFRAMA, 2002-2012.</w:t>
      </w:r>
    </w:p>
    <w:p w:rsidR="000F3A07" w:rsidRDefault="000F3A07" w:rsidP="00E87B55">
      <w:pPr>
        <w:spacing w:line="240" w:lineRule="auto"/>
        <w:jc w:val="both"/>
        <w:rPr>
          <w:rStyle w:val="Hyperlink"/>
          <w:rFonts w:ascii="Times New Roman" w:hAnsi="Times New Roman" w:cs="Times New Roman"/>
          <w:color w:val="auto"/>
          <w:sz w:val="24"/>
          <w:szCs w:val="24"/>
          <w:u w:val="none"/>
        </w:rPr>
      </w:pPr>
    </w:p>
    <w:p w:rsidR="000551BD" w:rsidRDefault="00222DBC" w:rsidP="000551BD">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Outro dado que chama a atenção é o ín</w:t>
      </w:r>
      <w:r w:rsidR="009469CB">
        <w:rPr>
          <w:rStyle w:val="Hyperlink"/>
          <w:rFonts w:ascii="Times New Roman" w:hAnsi="Times New Roman" w:cs="Times New Roman"/>
          <w:color w:val="auto"/>
          <w:sz w:val="24"/>
          <w:szCs w:val="24"/>
          <w:u w:val="none"/>
        </w:rPr>
        <w:t xml:space="preserve">dice de concentração do PIB em </w:t>
      </w:r>
      <w:r w:rsidR="00784130">
        <w:rPr>
          <w:rStyle w:val="Hyperlink"/>
          <w:rFonts w:ascii="Times New Roman" w:hAnsi="Times New Roman" w:cs="Times New Roman"/>
          <w:color w:val="auto"/>
          <w:sz w:val="24"/>
          <w:szCs w:val="24"/>
          <w:u w:val="none"/>
        </w:rPr>
        <w:t>Suape que elevou cerca de 53</w:t>
      </w:r>
      <w:r>
        <w:rPr>
          <w:rStyle w:val="Hyperlink"/>
          <w:rFonts w:ascii="Times New Roman" w:hAnsi="Times New Roman" w:cs="Times New Roman"/>
          <w:color w:val="auto"/>
          <w:sz w:val="24"/>
          <w:szCs w:val="24"/>
          <w:u w:val="none"/>
        </w:rPr>
        <w:t>%, enquanto as outras microrregiões que compõem a mesorregião Metropolitana reduziram o índice, chamando atenção pelo fato de que Suape recebeu grandes investimentos e geração de emprego no período analisado. O que pode ser justificado pela especialização produtiva dessas microrregiões, por exemplo, os municípios que compõem a microrregião do Recife</w:t>
      </w:r>
      <w:r w:rsidR="000551BD">
        <w:rPr>
          <w:rStyle w:val="Hyperlink"/>
          <w:rFonts w:ascii="Times New Roman" w:hAnsi="Times New Roman" w:cs="Times New Roman"/>
          <w:color w:val="auto"/>
          <w:sz w:val="24"/>
          <w:szCs w:val="24"/>
          <w:u w:val="none"/>
        </w:rPr>
        <w:t xml:space="preserve"> – Jaboatão dos Guararapes, Olinda e Recife – nos últimos anos tem se especializado em atividades terciárias deslocando a indústria para seu entorno mais próximo, que é o Porto de Suape – Cabo de Santo Agostinho.</w:t>
      </w:r>
    </w:p>
    <w:p w:rsidR="00222DBC" w:rsidRDefault="000551BD" w:rsidP="005F56A4">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Porém, nem todo o investimento foi direcionado para Suape,</w:t>
      </w:r>
      <w:r w:rsidR="009469CB">
        <w:rPr>
          <w:rStyle w:val="Hyperlink"/>
          <w:rFonts w:ascii="Times New Roman" w:hAnsi="Times New Roman" w:cs="Times New Roman"/>
          <w:color w:val="auto"/>
          <w:sz w:val="24"/>
          <w:szCs w:val="24"/>
          <w:u w:val="none"/>
        </w:rPr>
        <w:t xml:space="preserve"> tendo o interior do estado atraído algumas indústrias como Vitória de Santo Antão, Caruaru e Petrolina. Sendo que Vitória de Santo Antão e Caruaru exemplos de beneficiárias dos efeitos transbordamento e externalidades desses investimentos.</w:t>
      </w:r>
      <w:r w:rsidR="00192CAF">
        <w:rPr>
          <w:rStyle w:val="Hyperlink"/>
          <w:rFonts w:ascii="Times New Roman" w:hAnsi="Times New Roman" w:cs="Times New Roman"/>
          <w:color w:val="auto"/>
          <w:sz w:val="24"/>
          <w:szCs w:val="24"/>
          <w:u w:val="none"/>
        </w:rPr>
        <w:t xml:space="preserve"> Segundo Silva Júnior, Sobral e Santana (2012), a proximidade com a capital do estado pode ser um grande trunfo neste aspecto. Tal realidade é reforçada a partir da duplicação da BR 232 a qual facilitou a logística entre esses municípios e a capital.</w:t>
      </w:r>
    </w:p>
    <w:p w:rsidR="00F41A50" w:rsidRPr="006714A0" w:rsidRDefault="00BD63CF" w:rsidP="000A1FAE">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Com a d</w:t>
      </w:r>
      <w:r w:rsidR="00857D76">
        <w:rPr>
          <w:rStyle w:val="Hyperlink"/>
          <w:rFonts w:ascii="Times New Roman" w:hAnsi="Times New Roman" w:cs="Times New Roman"/>
          <w:color w:val="auto"/>
          <w:sz w:val="24"/>
          <w:szCs w:val="24"/>
          <w:u w:val="none"/>
        </w:rPr>
        <w:t>ecomposição pela renda média é possível observar na, tabela 5, que para as microrregiões de Salgueiro, Agreste e Suape ocorreu aumento do índice de Theil-T para o período de 2002-2012</w:t>
      </w:r>
      <w:r w:rsidR="000A1FAE">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C</w:t>
      </w:r>
      <w:r w:rsidR="00F41A50" w:rsidRPr="006714A0">
        <w:rPr>
          <w:rStyle w:val="Hyperlink"/>
          <w:rFonts w:ascii="Times New Roman" w:hAnsi="Times New Roman" w:cs="Times New Roman"/>
          <w:color w:val="auto"/>
          <w:sz w:val="24"/>
          <w:szCs w:val="24"/>
          <w:u w:val="none"/>
        </w:rPr>
        <w:t>hama</w:t>
      </w:r>
      <w:r>
        <w:rPr>
          <w:rStyle w:val="Hyperlink"/>
          <w:rFonts w:ascii="Times New Roman" w:hAnsi="Times New Roman" w:cs="Times New Roman"/>
          <w:color w:val="auto"/>
          <w:sz w:val="24"/>
          <w:szCs w:val="24"/>
          <w:u w:val="none"/>
        </w:rPr>
        <w:t>ndo</w:t>
      </w:r>
      <w:r w:rsidR="00F41A50" w:rsidRPr="006714A0">
        <w:rPr>
          <w:rStyle w:val="Hyperlink"/>
          <w:rFonts w:ascii="Times New Roman" w:hAnsi="Times New Roman" w:cs="Times New Roman"/>
          <w:color w:val="auto"/>
          <w:sz w:val="24"/>
          <w:szCs w:val="24"/>
          <w:u w:val="none"/>
        </w:rPr>
        <w:t xml:space="preserve"> a atenção novamente é a microrregião de Suape que teve seu índice elevado mesmo sendo uma região que recebeu uma das maiores partes do investimento pernambucano, e uma região que teve o maior número de pessoal ocupado, segundo dados da RAIZ/CAGED, tendo um aumento de 130% na geração de emprego. Desse modo, observa-se que a demanda por mão de obra qualificada, que, de modo geral, estimula a desigualdade de renda aumenta quanto maior for o nível educacional. Desse modo, Santos et al. (2015) verificaram que a concentração de renda aumentou 25,26% entre os trabalhadores com nível superior completo.  </w:t>
      </w:r>
    </w:p>
    <w:p w:rsidR="0052463D" w:rsidRDefault="006714A0" w:rsidP="006714A0">
      <w:pPr>
        <w:spacing w:after="0"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Já a T</w:t>
      </w:r>
      <w:r w:rsidR="007C189E">
        <w:rPr>
          <w:rStyle w:val="Hyperlink"/>
          <w:rFonts w:ascii="Times New Roman" w:hAnsi="Times New Roman" w:cs="Times New Roman"/>
          <w:color w:val="auto"/>
          <w:sz w:val="24"/>
          <w:szCs w:val="24"/>
          <w:u w:val="none"/>
        </w:rPr>
        <w:t>abela 6</w:t>
      </w:r>
      <w:r w:rsidR="002E7659">
        <w:rPr>
          <w:rStyle w:val="Hyperlink"/>
          <w:rFonts w:ascii="Times New Roman" w:hAnsi="Times New Roman" w:cs="Times New Roman"/>
          <w:color w:val="auto"/>
          <w:sz w:val="24"/>
          <w:szCs w:val="24"/>
          <w:u w:val="none"/>
        </w:rPr>
        <w:t>,</w:t>
      </w:r>
      <w:r w:rsidR="00123C56">
        <w:rPr>
          <w:rStyle w:val="Hyperlink"/>
          <w:rFonts w:ascii="Times New Roman" w:hAnsi="Times New Roman" w:cs="Times New Roman"/>
          <w:color w:val="auto"/>
          <w:sz w:val="24"/>
          <w:szCs w:val="24"/>
          <w:u w:val="none"/>
        </w:rPr>
        <w:t xml:space="preserve"> </w:t>
      </w:r>
      <w:r w:rsidR="009F1AD3" w:rsidRPr="00123C56">
        <w:rPr>
          <w:rStyle w:val="Hyperlink"/>
          <w:rFonts w:ascii="Times New Roman" w:hAnsi="Times New Roman" w:cs="Times New Roman"/>
          <w:color w:val="auto"/>
          <w:sz w:val="24"/>
          <w:szCs w:val="24"/>
          <w:u w:val="none"/>
        </w:rPr>
        <w:t>mostra a decomposição em dois níveis do índice de Theil – T, em três componentes: a desigualdade do PIB entre as mesorregiões (T</w:t>
      </w:r>
      <w:r w:rsidR="009F1AD3" w:rsidRPr="00123C56">
        <w:rPr>
          <w:rStyle w:val="Hyperlink"/>
          <w:rFonts w:ascii="Times New Roman" w:hAnsi="Times New Roman" w:cs="Times New Roman"/>
          <w:color w:val="auto"/>
          <w:sz w:val="24"/>
          <w:szCs w:val="24"/>
          <w:u w:val="none"/>
          <w:vertAlign w:val="subscript"/>
        </w:rPr>
        <w:t>BR</w:t>
      </w:r>
      <w:r w:rsidR="009F1AD3" w:rsidRPr="00123C56">
        <w:rPr>
          <w:rStyle w:val="Hyperlink"/>
          <w:rFonts w:ascii="Times New Roman" w:hAnsi="Times New Roman" w:cs="Times New Roman"/>
          <w:color w:val="auto"/>
          <w:sz w:val="24"/>
          <w:szCs w:val="24"/>
          <w:u w:val="none"/>
        </w:rPr>
        <w:t xml:space="preserve">), a desigualdade do PIB </w:t>
      </w:r>
      <w:r w:rsidR="001F286D">
        <w:rPr>
          <w:rStyle w:val="Hyperlink"/>
          <w:rFonts w:ascii="Times New Roman" w:hAnsi="Times New Roman" w:cs="Times New Roman"/>
          <w:color w:val="auto"/>
          <w:sz w:val="24"/>
          <w:szCs w:val="24"/>
          <w:u w:val="none"/>
        </w:rPr>
        <w:t>d</w:t>
      </w:r>
      <w:r w:rsidR="009F1AD3" w:rsidRPr="00123C56">
        <w:rPr>
          <w:rStyle w:val="Hyperlink"/>
          <w:rFonts w:ascii="Times New Roman" w:hAnsi="Times New Roman" w:cs="Times New Roman"/>
          <w:color w:val="auto"/>
          <w:sz w:val="24"/>
          <w:szCs w:val="24"/>
          <w:u w:val="none"/>
        </w:rPr>
        <w:t>entre as microrregiões (T</w:t>
      </w:r>
      <w:r w:rsidR="009F1AD3" w:rsidRPr="00123C56">
        <w:rPr>
          <w:rStyle w:val="Hyperlink"/>
          <w:rFonts w:ascii="Times New Roman" w:hAnsi="Times New Roman" w:cs="Times New Roman"/>
          <w:color w:val="auto"/>
          <w:sz w:val="24"/>
          <w:szCs w:val="24"/>
          <w:u w:val="none"/>
          <w:vertAlign w:val="subscript"/>
        </w:rPr>
        <w:t>WMicro</w:t>
      </w:r>
      <w:r w:rsidR="001F286D">
        <w:rPr>
          <w:rStyle w:val="Hyperlink"/>
          <w:rFonts w:ascii="Times New Roman" w:hAnsi="Times New Roman" w:cs="Times New Roman"/>
          <w:color w:val="auto"/>
          <w:sz w:val="24"/>
          <w:szCs w:val="24"/>
          <w:u w:val="none"/>
        </w:rPr>
        <w:t>) e a desigualdade do PIB entre</w:t>
      </w:r>
      <w:r w:rsidR="009F1AD3" w:rsidRPr="00123C56">
        <w:rPr>
          <w:rStyle w:val="Hyperlink"/>
          <w:rFonts w:ascii="Times New Roman" w:hAnsi="Times New Roman" w:cs="Times New Roman"/>
          <w:color w:val="auto"/>
          <w:sz w:val="24"/>
          <w:szCs w:val="24"/>
          <w:u w:val="none"/>
        </w:rPr>
        <w:t xml:space="preserve"> das microrregiões (T</w:t>
      </w:r>
      <w:r w:rsidR="009F1AD3" w:rsidRPr="00123C56">
        <w:rPr>
          <w:rStyle w:val="Hyperlink"/>
          <w:rFonts w:ascii="Times New Roman" w:hAnsi="Times New Roman" w:cs="Times New Roman"/>
          <w:color w:val="auto"/>
          <w:sz w:val="24"/>
          <w:szCs w:val="24"/>
          <w:u w:val="none"/>
          <w:vertAlign w:val="subscript"/>
        </w:rPr>
        <w:t>BMicro</w:t>
      </w:r>
      <w:r w:rsidR="009F1AD3" w:rsidRPr="00123C56">
        <w:rPr>
          <w:rStyle w:val="Hyperlink"/>
          <w:rFonts w:ascii="Times New Roman" w:hAnsi="Times New Roman" w:cs="Times New Roman"/>
          <w:color w:val="auto"/>
          <w:sz w:val="24"/>
          <w:szCs w:val="24"/>
          <w:u w:val="none"/>
        </w:rPr>
        <w:t>).</w:t>
      </w:r>
      <w:r w:rsidR="00275B56">
        <w:rPr>
          <w:rStyle w:val="Hyperlink"/>
          <w:rFonts w:ascii="Times New Roman" w:hAnsi="Times New Roman" w:cs="Times New Roman"/>
          <w:color w:val="auto"/>
          <w:sz w:val="24"/>
          <w:szCs w:val="24"/>
          <w:u w:val="none"/>
        </w:rPr>
        <w:t xml:space="preserve"> </w:t>
      </w:r>
      <w:r w:rsidR="009F1AD3" w:rsidRPr="00123C56">
        <w:rPr>
          <w:rStyle w:val="Hyperlink"/>
          <w:rFonts w:ascii="Times New Roman" w:hAnsi="Times New Roman" w:cs="Times New Roman"/>
          <w:color w:val="auto"/>
          <w:sz w:val="24"/>
          <w:szCs w:val="24"/>
          <w:u w:val="none"/>
        </w:rPr>
        <w:t>Observa-se que as disparidades dentro das microrregiões são maiores que a disparidade entre microrregião.</w:t>
      </w:r>
      <w:r w:rsidR="00EE4033">
        <w:rPr>
          <w:rStyle w:val="Hyperlink"/>
          <w:rFonts w:ascii="Times New Roman" w:hAnsi="Times New Roman" w:cs="Times New Roman"/>
          <w:color w:val="auto"/>
          <w:sz w:val="24"/>
          <w:szCs w:val="24"/>
          <w:u w:val="none"/>
        </w:rPr>
        <w:t xml:space="preserve"> Em 2002</w:t>
      </w:r>
      <w:r w:rsidR="00215EDB">
        <w:rPr>
          <w:rStyle w:val="Hyperlink"/>
          <w:rFonts w:ascii="Times New Roman" w:hAnsi="Times New Roman" w:cs="Times New Roman"/>
          <w:color w:val="auto"/>
          <w:sz w:val="24"/>
          <w:szCs w:val="24"/>
          <w:u w:val="none"/>
        </w:rPr>
        <w:t>,</w:t>
      </w:r>
      <w:r w:rsidR="00EE4033">
        <w:rPr>
          <w:rStyle w:val="Hyperlink"/>
          <w:rFonts w:ascii="Times New Roman" w:hAnsi="Times New Roman" w:cs="Times New Roman"/>
          <w:color w:val="auto"/>
          <w:sz w:val="24"/>
          <w:szCs w:val="24"/>
          <w:u w:val="none"/>
        </w:rPr>
        <w:t xml:space="preserve"> 15</w:t>
      </w:r>
      <w:r w:rsidR="005217EA">
        <w:rPr>
          <w:rStyle w:val="Hyperlink"/>
          <w:rFonts w:ascii="Times New Roman" w:hAnsi="Times New Roman" w:cs="Times New Roman"/>
          <w:color w:val="auto"/>
          <w:sz w:val="24"/>
          <w:szCs w:val="24"/>
          <w:u w:val="none"/>
        </w:rPr>
        <w:t xml:space="preserve">% da diferença entre microrregiões </w:t>
      </w:r>
      <w:r w:rsidR="00506040">
        <w:rPr>
          <w:rStyle w:val="Hyperlink"/>
          <w:rFonts w:ascii="Times New Roman" w:hAnsi="Times New Roman" w:cs="Times New Roman"/>
          <w:color w:val="auto"/>
          <w:sz w:val="24"/>
          <w:szCs w:val="24"/>
          <w:u w:val="none"/>
        </w:rPr>
        <w:t>explicavam</w:t>
      </w:r>
      <w:r w:rsidR="005217EA">
        <w:rPr>
          <w:rStyle w:val="Hyperlink"/>
          <w:rFonts w:ascii="Times New Roman" w:hAnsi="Times New Roman" w:cs="Times New Roman"/>
          <w:color w:val="auto"/>
          <w:sz w:val="24"/>
          <w:szCs w:val="24"/>
          <w:u w:val="none"/>
        </w:rPr>
        <w:t xml:space="preserve"> a diferença do PIB, no período analisado houve crescimento deste índice para 21% em 2012. Pela diferença dentro de cada microrregião</w:t>
      </w:r>
      <w:r w:rsidR="00275B56">
        <w:rPr>
          <w:rStyle w:val="Hyperlink"/>
          <w:rFonts w:ascii="Times New Roman" w:hAnsi="Times New Roman" w:cs="Times New Roman"/>
          <w:color w:val="auto"/>
          <w:sz w:val="24"/>
          <w:szCs w:val="24"/>
          <w:u w:val="none"/>
        </w:rPr>
        <w:t>,</w:t>
      </w:r>
      <w:r w:rsidR="005217EA">
        <w:rPr>
          <w:rStyle w:val="Hyperlink"/>
          <w:rFonts w:ascii="Times New Roman" w:hAnsi="Times New Roman" w:cs="Times New Roman"/>
          <w:color w:val="auto"/>
          <w:sz w:val="24"/>
          <w:szCs w:val="24"/>
          <w:u w:val="none"/>
        </w:rPr>
        <w:t xml:space="preserve"> a </w:t>
      </w:r>
      <w:r w:rsidR="00275B56">
        <w:rPr>
          <w:rStyle w:val="Hyperlink"/>
          <w:rFonts w:ascii="Times New Roman" w:hAnsi="Times New Roman" w:cs="Times New Roman"/>
          <w:color w:val="auto"/>
          <w:sz w:val="24"/>
          <w:szCs w:val="24"/>
          <w:u w:val="none"/>
        </w:rPr>
        <w:t>desigualdade</w:t>
      </w:r>
      <w:r w:rsidR="005217EA">
        <w:rPr>
          <w:rStyle w:val="Hyperlink"/>
          <w:rFonts w:ascii="Times New Roman" w:hAnsi="Times New Roman" w:cs="Times New Roman"/>
          <w:color w:val="auto"/>
          <w:sz w:val="24"/>
          <w:szCs w:val="24"/>
          <w:u w:val="none"/>
        </w:rPr>
        <w:t xml:space="preserve"> </w:t>
      </w:r>
      <w:r w:rsidR="00275B56">
        <w:rPr>
          <w:rStyle w:val="Hyperlink"/>
          <w:rFonts w:ascii="Times New Roman" w:hAnsi="Times New Roman" w:cs="Times New Roman"/>
          <w:color w:val="auto"/>
          <w:sz w:val="24"/>
          <w:szCs w:val="24"/>
          <w:u w:val="none"/>
        </w:rPr>
        <w:t>é</w:t>
      </w:r>
      <w:r w:rsidR="005217EA">
        <w:rPr>
          <w:rStyle w:val="Hyperlink"/>
          <w:rFonts w:ascii="Times New Roman" w:hAnsi="Times New Roman" w:cs="Times New Roman"/>
          <w:color w:val="auto"/>
          <w:sz w:val="24"/>
          <w:szCs w:val="24"/>
          <w:u w:val="none"/>
        </w:rPr>
        <w:t xml:space="preserve"> ainda mais acentuada</w:t>
      </w:r>
      <w:r w:rsidR="00275B56">
        <w:rPr>
          <w:rStyle w:val="Hyperlink"/>
          <w:rFonts w:ascii="Times New Roman" w:hAnsi="Times New Roman" w:cs="Times New Roman"/>
          <w:color w:val="auto"/>
          <w:sz w:val="24"/>
          <w:szCs w:val="24"/>
          <w:u w:val="none"/>
        </w:rPr>
        <w:t xml:space="preserve"> </w:t>
      </w:r>
      <w:r w:rsidR="005217EA">
        <w:rPr>
          <w:rStyle w:val="Hyperlink"/>
          <w:rFonts w:ascii="Times New Roman" w:hAnsi="Times New Roman" w:cs="Times New Roman"/>
          <w:color w:val="auto"/>
          <w:sz w:val="24"/>
          <w:szCs w:val="24"/>
          <w:u w:val="none"/>
        </w:rPr>
        <w:t>explicando mais de 50% desta disparidade.</w:t>
      </w:r>
      <w:r w:rsidR="00176ED4">
        <w:rPr>
          <w:rStyle w:val="Hyperlink"/>
          <w:rFonts w:ascii="Times New Roman" w:hAnsi="Times New Roman" w:cs="Times New Roman"/>
          <w:color w:val="auto"/>
          <w:sz w:val="24"/>
          <w:szCs w:val="24"/>
          <w:u w:val="none"/>
        </w:rPr>
        <w:t xml:space="preserve"> </w:t>
      </w:r>
    </w:p>
    <w:p w:rsidR="006714A0" w:rsidRDefault="006714A0" w:rsidP="006714A0">
      <w:pPr>
        <w:spacing w:after="0" w:line="240" w:lineRule="auto"/>
        <w:ind w:firstLine="709"/>
        <w:jc w:val="both"/>
        <w:rPr>
          <w:rStyle w:val="Hyperlink"/>
          <w:rFonts w:ascii="Times New Roman" w:hAnsi="Times New Roman" w:cs="Times New Roman"/>
          <w:color w:val="auto"/>
          <w:sz w:val="24"/>
          <w:szCs w:val="24"/>
          <w:u w:val="none"/>
        </w:rPr>
      </w:pPr>
    </w:p>
    <w:p w:rsidR="009F1AD3" w:rsidRDefault="00176ED4" w:rsidP="006714A0">
      <w:pPr>
        <w:spacing w:after="0" w:line="240" w:lineRule="auto"/>
        <w:jc w:val="center"/>
        <w:rPr>
          <w:rFonts w:ascii="Times New Roman" w:eastAsia="Times New Roman" w:hAnsi="Times New Roman" w:cs="Times New Roman"/>
          <w:bCs/>
          <w:color w:val="000000"/>
          <w:sz w:val="24"/>
          <w:szCs w:val="24"/>
          <w:lang w:eastAsia="pt-BR"/>
        </w:rPr>
      </w:pPr>
      <w:r w:rsidRPr="00AB0B0F">
        <w:rPr>
          <w:rFonts w:ascii="Times New Roman" w:eastAsia="Times New Roman" w:hAnsi="Times New Roman" w:cs="Times New Roman"/>
          <w:bCs/>
          <w:color w:val="000000"/>
          <w:sz w:val="24"/>
          <w:szCs w:val="24"/>
          <w:lang w:eastAsia="pt-BR"/>
        </w:rPr>
        <w:t xml:space="preserve">Tabela 6 - Decomposição </w:t>
      </w:r>
      <w:r>
        <w:rPr>
          <w:rFonts w:ascii="Times New Roman" w:eastAsia="Times New Roman" w:hAnsi="Times New Roman" w:cs="Times New Roman"/>
          <w:bCs/>
          <w:color w:val="000000"/>
          <w:sz w:val="24"/>
          <w:szCs w:val="24"/>
          <w:lang w:eastAsia="pt-BR"/>
        </w:rPr>
        <w:t>do índice de disparidade (PIB) de Theil - T em fatores inter e intra microrregiões e fator inter mesorregiões de Pernambuco</w:t>
      </w:r>
    </w:p>
    <w:tbl>
      <w:tblPr>
        <w:tblW w:w="9048" w:type="dxa"/>
        <w:tblInd w:w="53" w:type="dxa"/>
        <w:tblCellMar>
          <w:left w:w="70" w:type="dxa"/>
          <w:right w:w="70" w:type="dxa"/>
        </w:tblCellMar>
        <w:tblLook w:val="04A0" w:firstRow="1" w:lastRow="0" w:firstColumn="1" w:lastColumn="0" w:noHBand="0" w:noVBand="1"/>
      </w:tblPr>
      <w:tblGrid>
        <w:gridCol w:w="745"/>
        <w:gridCol w:w="745"/>
        <w:gridCol w:w="649"/>
        <w:gridCol w:w="642"/>
        <w:gridCol w:w="9"/>
        <w:gridCol w:w="151"/>
        <w:gridCol w:w="439"/>
        <w:gridCol w:w="498"/>
        <w:gridCol w:w="143"/>
        <w:gridCol w:w="17"/>
        <w:gridCol w:w="573"/>
        <w:gridCol w:w="641"/>
        <w:gridCol w:w="590"/>
        <w:gridCol w:w="641"/>
        <w:gridCol w:w="627"/>
        <w:gridCol w:w="704"/>
        <w:gridCol w:w="593"/>
        <w:gridCol w:w="641"/>
      </w:tblGrid>
      <w:tr w:rsidR="0052463D" w:rsidRPr="00074BBA" w:rsidTr="00082DC0">
        <w:trPr>
          <w:trHeight w:val="307"/>
        </w:trPr>
        <w:tc>
          <w:tcPr>
            <w:tcW w:w="1490" w:type="dxa"/>
            <w:gridSpan w:val="2"/>
            <w:tcBorders>
              <w:left w:val="nil"/>
              <w:right w:val="nil"/>
            </w:tcBorders>
            <w:shd w:val="clear" w:color="auto" w:fill="auto"/>
            <w:noWrap/>
            <w:vAlign w:val="bottom"/>
            <w:hideMark/>
          </w:tcPr>
          <w:p w:rsidR="0052463D" w:rsidRPr="00074BBA" w:rsidRDefault="0052463D" w:rsidP="006714A0">
            <w:pPr>
              <w:spacing w:after="0" w:line="240" w:lineRule="auto"/>
              <w:rPr>
                <w:rFonts w:ascii="Times New Roman" w:eastAsia="Times New Roman" w:hAnsi="Times New Roman" w:cs="Times New Roman"/>
                <w:color w:val="000000"/>
                <w:sz w:val="18"/>
                <w:szCs w:val="18"/>
                <w:lang w:eastAsia="pt-BR"/>
              </w:rPr>
            </w:pPr>
          </w:p>
        </w:tc>
        <w:tc>
          <w:tcPr>
            <w:tcW w:w="12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2463D" w:rsidRPr="00074BBA" w:rsidRDefault="0052463D" w:rsidP="00074BBA">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2002</w:t>
            </w:r>
          </w:p>
        </w:tc>
        <w:tc>
          <w:tcPr>
            <w:tcW w:w="160" w:type="dxa"/>
            <w:gridSpan w:val="2"/>
            <w:tcBorders>
              <w:top w:val="single" w:sz="4" w:space="0" w:color="auto"/>
              <w:left w:val="single" w:sz="4" w:space="0" w:color="auto"/>
              <w:bottom w:val="single" w:sz="4" w:space="0" w:color="auto"/>
              <w:right w:val="nil"/>
            </w:tcBorders>
            <w:shd w:val="clear" w:color="auto" w:fill="auto"/>
            <w:vAlign w:val="bottom"/>
          </w:tcPr>
          <w:p w:rsidR="0052463D" w:rsidRPr="00074BBA" w:rsidRDefault="0052463D" w:rsidP="00C45C75">
            <w:pPr>
              <w:spacing w:after="0" w:line="240" w:lineRule="auto"/>
              <w:jc w:val="center"/>
              <w:rPr>
                <w:rFonts w:ascii="Times New Roman" w:eastAsia="Times New Roman" w:hAnsi="Times New Roman" w:cs="Times New Roman"/>
                <w:b/>
                <w:color w:val="000000"/>
                <w:sz w:val="18"/>
                <w:szCs w:val="18"/>
                <w:lang w:eastAsia="pt-BR"/>
              </w:rPr>
            </w:pPr>
          </w:p>
        </w:tc>
        <w:tc>
          <w:tcPr>
            <w:tcW w:w="937" w:type="dxa"/>
            <w:gridSpan w:val="2"/>
            <w:tcBorders>
              <w:top w:val="single" w:sz="4" w:space="0" w:color="auto"/>
              <w:left w:val="nil"/>
              <w:bottom w:val="single" w:sz="4" w:space="0" w:color="auto"/>
              <w:right w:val="nil"/>
            </w:tcBorders>
            <w:shd w:val="clear" w:color="auto" w:fill="auto"/>
            <w:noWrap/>
            <w:vAlign w:val="bottom"/>
            <w:hideMark/>
          </w:tcPr>
          <w:p w:rsidR="0052463D" w:rsidRPr="00074BBA" w:rsidRDefault="0052463D" w:rsidP="00074BBA">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2004</w:t>
            </w:r>
          </w:p>
        </w:tc>
        <w:tc>
          <w:tcPr>
            <w:tcW w:w="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2463D" w:rsidRPr="00074BBA" w:rsidRDefault="0052463D" w:rsidP="00C45C75">
            <w:pPr>
              <w:spacing w:after="0" w:line="240" w:lineRule="auto"/>
              <w:jc w:val="center"/>
              <w:rPr>
                <w:rFonts w:ascii="Times New Roman" w:eastAsia="Times New Roman" w:hAnsi="Times New Roman" w:cs="Times New Roman"/>
                <w:b/>
                <w:color w:val="000000"/>
                <w:sz w:val="18"/>
                <w:szCs w:val="18"/>
                <w:lang w:eastAsia="pt-BR"/>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2463D" w:rsidRPr="00074BBA" w:rsidRDefault="0052463D" w:rsidP="00074BBA">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63D" w:rsidRPr="00074BBA" w:rsidRDefault="0052463D" w:rsidP="00074BBA">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2008</w:t>
            </w:r>
          </w:p>
        </w:tc>
        <w:tc>
          <w:tcPr>
            <w:tcW w:w="1331" w:type="dxa"/>
            <w:gridSpan w:val="2"/>
            <w:tcBorders>
              <w:top w:val="single" w:sz="4" w:space="0" w:color="auto"/>
              <w:left w:val="single" w:sz="4" w:space="0" w:color="auto"/>
              <w:bottom w:val="single" w:sz="4" w:space="0" w:color="auto"/>
            </w:tcBorders>
            <w:shd w:val="clear" w:color="auto" w:fill="auto"/>
            <w:vAlign w:val="bottom"/>
          </w:tcPr>
          <w:p w:rsidR="0052463D" w:rsidRPr="00074BBA" w:rsidRDefault="0052463D" w:rsidP="00074BBA">
            <w:pPr>
              <w:spacing w:after="0" w:line="240" w:lineRule="auto"/>
              <w:jc w:val="center"/>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201</w:t>
            </w:r>
            <w:r>
              <w:rPr>
                <w:rFonts w:ascii="Times New Roman" w:eastAsia="Times New Roman" w:hAnsi="Times New Roman" w:cs="Times New Roman"/>
                <w:b/>
                <w:color w:val="000000"/>
                <w:sz w:val="18"/>
                <w:szCs w:val="18"/>
                <w:lang w:eastAsia="pt-BR"/>
              </w:rPr>
              <w:t>0</w:t>
            </w:r>
          </w:p>
        </w:tc>
        <w:tc>
          <w:tcPr>
            <w:tcW w:w="1234" w:type="dxa"/>
            <w:gridSpan w:val="2"/>
            <w:tcBorders>
              <w:top w:val="single" w:sz="4" w:space="0" w:color="auto"/>
              <w:left w:val="single" w:sz="4" w:space="0" w:color="auto"/>
              <w:bottom w:val="single" w:sz="4" w:space="0" w:color="auto"/>
            </w:tcBorders>
            <w:shd w:val="clear" w:color="auto" w:fill="auto"/>
            <w:vAlign w:val="bottom"/>
          </w:tcPr>
          <w:p w:rsidR="0052463D" w:rsidRPr="00074BBA" w:rsidRDefault="0052463D" w:rsidP="00074BBA">
            <w:pPr>
              <w:spacing w:after="0" w:line="240" w:lineRule="auto"/>
              <w:jc w:val="center"/>
              <w:rPr>
                <w:rFonts w:ascii="Times New Roman" w:eastAsia="Times New Roman" w:hAnsi="Times New Roman" w:cs="Times New Roman"/>
                <w:b/>
                <w:color w:val="000000"/>
                <w:sz w:val="18"/>
                <w:szCs w:val="18"/>
                <w:lang w:eastAsia="pt-BR"/>
              </w:rPr>
            </w:pPr>
            <w:r>
              <w:rPr>
                <w:rFonts w:ascii="Times New Roman" w:eastAsia="Times New Roman" w:hAnsi="Times New Roman" w:cs="Times New Roman"/>
                <w:b/>
                <w:color w:val="000000"/>
                <w:sz w:val="18"/>
                <w:szCs w:val="18"/>
                <w:lang w:eastAsia="pt-BR"/>
              </w:rPr>
              <w:t>2012</w:t>
            </w:r>
          </w:p>
        </w:tc>
      </w:tr>
      <w:tr w:rsidR="00C45C75" w:rsidRPr="00B26462" w:rsidTr="00C45C75">
        <w:trPr>
          <w:trHeight w:val="307"/>
        </w:trPr>
        <w:tc>
          <w:tcPr>
            <w:tcW w:w="1490" w:type="dxa"/>
            <w:gridSpan w:val="2"/>
            <w:tcBorders>
              <w:left w:val="nil"/>
              <w:bottom w:val="nil"/>
              <w:right w:val="nil"/>
            </w:tcBorders>
            <w:shd w:val="clear" w:color="auto" w:fill="auto"/>
            <w:noWrap/>
            <w:vAlign w:val="center"/>
            <w:hideMark/>
          </w:tcPr>
          <w:p w:rsidR="00C45C75" w:rsidRPr="00074BBA" w:rsidRDefault="00C45C75" w:rsidP="00074BBA">
            <w:pPr>
              <w:spacing w:after="0" w:line="240" w:lineRule="auto"/>
              <w:rPr>
                <w:rFonts w:ascii="Times New Roman" w:eastAsia="Times New Roman" w:hAnsi="Times New Roman" w:cs="Times New Roman"/>
                <w:b/>
                <w:color w:val="000000"/>
                <w:sz w:val="18"/>
                <w:szCs w:val="18"/>
                <w:lang w:eastAsia="pt-BR"/>
              </w:rPr>
            </w:pPr>
          </w:p>
        </w:tc>
        <w:tc>
          <w:tcPr>
            <w:tcW w:w="649" w:type="dxa"/>
            <w:tcBorders>
              <w:top w:val="single" w:sz="4" w:space="0" w:color="auto"/>
              <w:left w:val="nil"/>
              <w:bottom w:val="nil"/>
              <w:right w:val="nil"/>
            </w:tcBorders>
            <w:shd w:val="clear" w:color="auto" w:fill="auto"/>
            <w:noWrap/>
            <w:vAlign w:val="center"/>
            <w:hideMark/>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51" w:type="dxa"/>
            <w:gridSpan w:val="2"/>
            <w:tcBorders>
              <w:top w:val="single" w:sz="4" w:space="0" w:color="auto"/>
              <w:left w:val="nil"/>
              <w:bottom w:val="nil"/>
              <w:right w:val="single" w:sz="4" w:space="0" w:color="auto"/>
            </w:tcBorders>
            <w:vAlign w:val="center"/>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0" w:type="dxa"/>
            <w:gridSpan w:val="2"/>
            <w:tcBorders>
              <w:top w:val="single" w:sz="4" w:space="0" w:color="auto"/>
              <w:left w:val="single" w:sz="4" w:space="0" w:color="auto"/>
              <w:bottom w:val="nil"/>
              <w:right w:val="nil"/>
            </w:tcBorders>
            <w:shd w:val="clear" w:color="auto" w:fill="auto"/>
            <w:noWrap/>
            <w:vAlign w:val="center"/>
            <w:hideMark/>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gridSpan w:val="2"/>
            <w:tcBorders>
              <w:top w:val="single" w:sz="4" w:space="0" w:color="auto"/>
              <w:left w:val="nil"/>
              <w:bottom w:val="nil"/>
              <w:right w:val="single" w:sz="4" w:space="0" w:color="auto"/>
            </w:tcBorders>
            <w:vAlign w:val="center"/>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0" w:type="dxa"/>
            <w:gridSpan w:val="2"/>
            <w:tcBorders>
              <w:top w:val="single" w:sz="4" w:space="0" w:color="auto"/>
              <w:left w:val="single" w:sz="4" w:space="0" w:color="auto"/>
              <w:bottom w:val="nil"/>
              <w:right w:val="nil"/>
            </w:tcBorders>
            <w:shd w:val="clear" w:color="auto" w:fill="auto"/>
            <w:noWrap/>
            <w:vAlign w:val="center"/>
            <w:hideMark/>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tcBorders>
              <w:top w:val="single" w:sz="4" w:space="0" w:color="auto"/>
              <w:left w:val="nil"/>
              <w:bottom w:val="nil"/>
              <w:right w:val="single" w:sz="4" w:space="0" w:color="auto"/>
            </w:tcBorders>
            <w:vAlign w:val="center"/>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0" w:type="dxa"/>
            <w:tcBorders>
              <w:top w:val="single" w:sz="4" w:space="0" w:color="auto"/>
              <w:left w:val="single" w:sz="4" w:space="0" w:color="auto"/>
              <w:bottom w:val="nil"/>
              <w:right w:val="nil"/>
            </w:tcBorders>
            <w:shd w:val="clear" w:color="auto" w:fill="auto"/>
            <w:noWrap/>
            <w:vAlign w:val="center"/>
            <w:hideMark/>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tcBorders>
              <w:top w:val="single" w:sz="4" w:space="0" w:color="auto"/>
              <w:left w:val="nil"/>
              <w:bottom w:val="nil"/>
              <w:right w:val="single" w:sz="4" w:space="0" w:color="auto"/>
            </w:tcBorders>
            <w:vAlign w:val="center"/>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627" w:type="dxa"/>
            <w:tcBorders>
              <w:top w:val="single" w:sz="4" w:space="0" w:color="auto"/>
              <w:left w:val="nil"/>
              <w:bottom w:val="nil"/>
              <w:right w:val="nil"/>
            </w:tcBorders>
            <w:shd w:val="clear" w:color="auto" w:fill="auto"/>
            <w:noWrap/>
            <w:vAlign w:val="center"/>
            <w:hideMark/>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704" w:type="dxa"/>
            <w:tcBorders>
              <w:top w:val="single" w:sz="4" w:space="0" w:color="auto"/>
              <w:left w:val="nil"/>
              <w:bottom w:val="nil"/>
              <w:right w:val="single" w:sz="4" w:space="0" w:color="auto"/>
            </w:tcBorders>
            <w:vAlign w:val="center"/>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c>
          <w:tcPr>
            <w:tcW w:w="593" w:type="dxa"/>
            <w:tcBorders>
              <w:top w:val="single" w:sz="4" w:space="0" w:color="auto"/>
              <w:left w:val="nil"/>
              <w:bottom w:val="nil"/>
              <w:right w:val="nil"/>
            </w:tcBorders>
            <w:shd w:val="clear" w:color="auto" w:fill="auto"/>
            <w:noWrap/>
            <w:vAlign w:val="center"/>
            <w:hideMark/>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PIB</w:t>
            </w:r>
          </w:p>
        </w:tc>
        <w:tc>
          <w:tcPr>
            <w:tcW w:w="641" w:type="dxa"/>
            <w:tcBorders>
              <w:top w:val="single" w:sz="4" w:space="0" w:color="auto"/>
              <w:left w:val="nil"/>
              <w:bottom w:val="nil"/>
              <w:right w:val="nil"/>
            </w:tcBorders>
            <w:vAlign w:val="center"/>
          </w:tcPr>
          <w:p w:rsidR="00C45C75" w:rsidRPr="00074BBA" w:rsidRDefault="00C45C75" w:rsidP="00074BBA">
            <w:pPr>
              <w:spacing w:after="0" w:line="240" w:lineRule="auto"/>
              <w:jc w:val="center"/>
              <w:rPr>
                <w:rFonts w:ascii="Times New Roman" w:hAnsi="Times New Roman" w:cs="Times New Roman"/>
                <w:b/>
                <w:color w:val="000000"/>
                <w:sz w:val="18"/>
                <w:szCs w:val="18"/>
              </w:rPr>
            </w:pPr>
            <w:r w:rsidRPr="00074BBA">
              <w:rPr>
                <w:rFonts w:ascii="Times New Roman" w:hAnsi="Times New Roman" w:cs="Times New Roman"/>
                <w:b/>
                <w:color w:val="000000"/>
                <w:sz w:val="18"/>
                <w:szCs w:val="18"/>
              </w:rPr>
              <w:t>Renda</w:t>
            </w:r>
          </w:p>
        </w:tc>
      </w:tr>
      <w:tr w:rsidR="00C45C75" w:rsidRPr="00B26462" w:rsidTr="00C45C75">
        <w:trPr>
          <w:trHeight w:val="307"/>
        </w:trPr>
        <w:tc>
          <w:tcPr>
            <w:tcW w:w="745" w:type="dxa"/>
            <w:vMerge w:val="restart"/>
            <w:tcBorders>
              <w:top w:val="single" w:sz="4" w:space="0" w:color="auto"/>
              <w:left w:val="nil"/>
              <w:right w:val="single" w:sz="4" w:space="0" w:color="auto"/>
            </w:tcBorders>
            <w:shd w:val="clear" w:color="auto" w:fill="auto"/>
            <w:noWrap/>
            <w:vAlign w:val="center"/>
            <w:hideMark/>
          </w:tcPr>
          <w:p w:rsidR="00C45C75" w:rsidRPr="00074BBA" w:rsidRDefault="00C45C75" w:rsidP="00074BBA">
            <w:pPr>
              <w:spacing w:after="0" w:line="240" w:lineRule="auto"/>
              <w:rPr>
                <w:rFonts w:ascii="Times New Roman" w:eastAsia="Times New Roman" w:hAnsi="Times New Roman" w:cs="Times New Roman"/>
                <w:b/>
                <w:color w:val="000000"/>
                <w:sz w:val="18"/>
                <w:szCs w:val="18"/>
                <w:lang w:eastAsia="pt-BR"/>
              </w:rPr>
            </w:pPr>
            <w:r w:rsidRPr="00074BBA">
              <w:rPr>
                <w:rFonts w:ascii="Times New Roman" w:eastAsia="Times New Roman" w:hAnsi="Times New Roman" w:cs="Times New Roman"/>
                <w:b/>
                <w:color w:val="000000"/>
                <w:sz w:val="18"/>
                <w:szCs w:val="18"/>
                <w:lang w:eastAsia="pt-BR"/>
              </w:rPr>
              <w:t>PE</w:t>
            </w:r>
          </w:p>
        </w:tc>
        <w:tc>
          <w:tcPr>
            <w:tcW w:w="745" w:type="dxa"/>
            <w:tcBorders>
              <w:top w:val="single" w:sz="4" w:space="0" w:color="auto"/>
              <w:left w:val="single" w:sz="4" w:space="0" w:color="auto"/>
              <w:right w:val="single" w:sz="4" w:space="0" w:color="auto"/>
            </w:tcBorders>
            <w:shd w:val="clear" w:color="auto" w:fill="auto"/>
            <w:vAlign w:val="center"/>
          </w:tcPr>
          <w:p w:rsidR="00C45C75" w:rsidRPr="00074BBA" w:rsidRDefault="00C45C75" w:rsidP="00074BBA">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Tw</w:t>
            </w:r>
            <w:r w:rsidRPr="00074BBA">
              <w:rPr>
                <w:rFonts w:ascii="Times New Roman" w:eastAsia="Times New Roman" w:hAnsi="Times New Roman" w:cs="Times New Roman"/>
                <w:i/>
                <w:color w:val="000000"/>
                <w:sz w:val="18"/>
                <w:szCs w:val="18"/>
                <w:vertAlign w:val="subscript"/>
                <w:lang w:eastAsia="pt-BR"/>
              </w:rPr>
              <w:t>micro</w:t>
            </w:r>
          </w:p>
        </w:tc>
        <w:tc>
          <w:tcPr>
            <w:tcW w:w="649" w:type="dxa"/>
            <w:tcBorders>
              <w:top w:val="single" w:sz="4" w:space="0" w:color="auto"/>
              <w:left w:val="single" w:sz="4" w:space="0" w:color="auto"/>
              <w:bottom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0,298</w:t>
            </w:r>
          </w:p>
        </w:tc>
        <w:tc>
          <w:tcPr>
            <w:tcW w:w="651" w:type="dxa"/>
            <w:gridSpan w:val="2"/>
            <w:tcBorders>
              <w:top w:val="single" w:sz="4" w:space="0" w:color="auto"/>
              <w:left w:val="nil"/>
              <w:bottom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0,992</w:t>
            </w:r>
          </w:p>
        </w:tc>
        <w:tc>
          <w:tcPr>
            <w:tcW w:w="590" w:type="dxa"/>
            <w:gridSpan w:val="2"/>
            <w:tcBorders>
              <w:top w:val="single" w:sz="4" w:space="0" w:color="auto"/>
              <w:left w:val="single" w:sz="4" w:space="0" w:color="auto"/>
              <w:bottom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0,327</w:t>
            </w:r>
          </w:p>
        </w:tc>
        <w:tc>
          <w:tcPr>
            <w:tcW w:w="641" w:type="dxa"/>
            <w:gridSpan w:val="2"/>
            <w:tcBorders>
              <w:top w:val="single" w:sz="4" w:space="0" w:color="auto"/>
              <w:left w:val="nil"/>
              <w:bottom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0,953</w:t>
            </w:r>
          </w:p>
        </w:tc>
        <w:tc>
          <w:tcPr>
            <w:tcW w:w="590" w:type="dxa"/>
            <w:gridSpan w:val="2"/>
            <w:tcBorders>
              <w:top w:val="single" w:sz="4" w:space="0" w:color="auto"/>
              <w:left w:val="single" w:sz="4" w:space="0" w:color="auto"/>
              <w:bottom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0,385</w:t>
            </w:r>
          </w:p>
        </w:tc>
        <w:tc>
          <w:tcPr>
            <w:tcW w:w="641" w:type="dxa"/>
            <w:tcBorders>
              <w:top w:val="single" w:sz="4" w:space="0" w:color="auto"/>
              <w:left w:val="nil"/>
              <w:bottom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0,987</w:t>
            </w:r>
          </w:p>
        </w:tc>
        <w:tc>
          <w:tcPr>
            <w:tcW w:w="590" w:type="dxa"/>
            <w:tcBorders>
              <w:top w:val="single" w:sz="4" w:space="0" w:color="auto"/>
              <w:left w:val="single" w:sz="4" w:space="0" w:color="auto"/>
              <w:bottom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0,426</w:t>
            </w:r>
          </w:p>
        </w:tc>
        <w:tc>
          <w:tcPr>
            <w:tcW w:w="641" w:type="dxa"/>
            <w:tcBorders>
              <w:top w:val="single" w:sz="4" w:space="0" w:color="auto"/>
              <w:left w:val="nil"/>
              <w:bottom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0,989</w:t>
            </w:r>
          </w:p>
        </w:tc>
        <w:tc>
          <w:tcPr>
            <w:tcW w:w="627" w:type="dxa"/>
            <w:tcBorders>
              <w:top w:val="single" w:sz="4" w:space="0" w:color="auto"/>
              <w:left w:val="nil"/>
              <w:bottom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0,484</w:t>
            </w:r>
          </w:p>
        </w:tc>
        <w:tc>
          <w:tcPr>
            <w:tcW w:w="704" w:type="dxa"/>
            <w:tcBorders>
              <w:top w:val="single" w:sz="4" w:space="0" w:color="auto"/>
              <w:left w:val="nil"/>
              <w:bottom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0,947</w:t>
            </w:r>
          </w:p>
        </w:tc>
        <w:tc>
          <w:tcPr>
            <w:tcW w:w="593" w:type="dxa"/>
            <w:tcBorders>
              <w:top w:val="single" w:sz="4" w:space="0" w:color="auto"/>
              <w:left w:val="nil"/>
              <w:bottom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0,493</w:t>
            </w:r>
          </w:p>
        </w:tc>
        <w:tc>
          <w:tcPr>
            <w:tcW w:w="641" w:type="dxa"/>
            <w:tcBorders>
              <w:top w:val="single" w:sz="4" w:space="0" w:color="auto"/>
              <w:left w:val="nil"/>
              <w:bottom w:val="nil"/>
              <w:right w:val="nil"/>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0,885</w:t>
            </w:r>
          </w:p>
        </w:tc>
      </w:tr>
      <w:tr w:rsidR="00C45C75" w:rsidRPr="00B26462" w:rsidTr="00C45C75">
        <w:trPr>
          <w:trHeight w:val="307"/>
        </w:trPr>
        <w:tc>
          <w:tcPr>
            <w:tcW w:w="745" w:type="dxa"/>
            <w:vMerge/>
            <w:tcBorders>
              <w:left w:val="nil"/>
              <w:right w:val="single" w:sz="4" w:space="0" w:color="auto"/>
            </w:tcBorders>
            <w:shd w:val="clear" w:color="auto" w:fill="auto"/>
            <w:noWrap/>
            <w:vAlign w:val="center"/>
            <w:hideMark/>
          </w:tcPr>
          <w:p w:rsidR="00C45C75" w:rsidRPr="00074BBA" w:rsidRDefault="00C45C75" w:rsidP="00074BBA">
            <w:pPr>
              <w:spacing w:after="0" w:line="240" w:lineRule="auto"/>
              <w:rPr>
                <w:rFonts w:ascii="Times New Roman" w:eastAsia="Times New Roman" w:hAnsi="Times New Roman" w:cs="Times New Roman"/>
                <w:b/>
                <w:color w:val="000000"/>
                <w:sz w:val="18"/>
                <w:szCs w:val="18"/>
                <w:lang w:eastAsia="pt-BR"/>
              </w:rPr>
            </w:pPr>
          </w:p>
        </w:tc>
        <w:tc>
          <w:tcPr>
            <w:tcW w:w="745" w:type="dxa"/>
            <w:tcBorders>
              <w:left w:val="single" w:sz="4" w:space="0" w:color="auto"/>
              <w:right w:val="single" w:sz="4" w:space="0" w:color="auto"/>
            </w:tcBorders>
            <w:shd w:val="clear" w:color="auto" w:fill="auto"/>
            <w:vAlign w:val="center"/>
          </w:tcPr>
          <w:p w:rsidR="00C45C75" w:rsidRPr="00074BBA" w:rsidRDefault="00C45C75" w:rsidP="00074BBA">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TB</w:t>
            </w:r>
            <w:r w:rsidRPr="00074BBA">
              <w:rPr>
                <w:rFonts w:ascii="Times New Roman" w:eastAsia="Times New Roman" w:hAnsi="Times New Roman" w:cs="Times New Roman"/>
                <w:i/>
                <w:color w:val="000000"/>
                <w:sz w:val="18"/>
                <w:szCs w:val="18"/>
                <w:vertAlign w:val="subscript"/>
                <w:lang w:eastAsia="pt-BR"/>
              </w:rPr>
              <w:t>micro</w:t>
            </w:r>
          </w:p>
        </w:tc>
        <w:tc>
          <w:tcPr>
            <w:tcW w:w="649" w:type="dxa"/>
            <w:tcBorders>
              <w:top w:val="nil"/>
              <w:left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0,089</w:t>
            </w:r>
          </w:p>
        </w:tc>
        <w:tc>
          <w:tcPr>
            <w:tcW w:w="651" w:type="dxa"/>
            <w:gridSpan w:val="2"/>
            <w:tcBorders>
              <w:top w:val="nil"/>
              <w:left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0,302</w:t>
            </w:r>
          </w:p>
        </w:tc>
        <w:tc>
          <w:tcPr>
            <w:tcW w:w="590" w:type="dxa"/>
            <w:gridSpan w:val="2"/>
            <w:tcBorders>
              <w:top w:val="nil"/>
              <w:left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0,136</w:t>
            </w:r>
          </w:p>
        </w:tc>
        <w:tc>
          <w:tcPr>
            <w:tcW w:w="641" w:type="dxa"/>
            <w:gridSpan w:val="2"/>
            <w:tcBorders>
              <w:top w:val="nil"/>
              <w:left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0,293</w:t>
            </w:r>
          </w:p>
        </w:tc>
        <w:tc>
          <w:tcPr>
            <w:tcW w:w="590" w:type="dxa"/>
            <w:gridSpan w:val="2"/>
            <w:tcBorders>
              <w:top w:val="nil"/>
              <w:left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0,135</w:t>
            </w:r>
          </w:p>
        </w:tc>
        <w:tc>
          <w:tcPr>
            <w:tcW w:w="641" w:type="dxa"/>
            <w:tcBorders>
              <w:top w:val="nil"/>
              <w:left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0,311</w:t>
            </w:r>
          </w:p>
        </w:tc>
        <w:tc>
          <w:tcPr>
            <w:tcW w:w="590" w:type="dxa"/>
            <w:tcBorders>
              <w:top w:val="nil"/>
              <w:left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0,154</w:t>
            </w:r>
          </w:p>
        </w:tc>
        <w:tc>
          <w:tcPr>
            <w:tcW w:w="641" w:type="dxa"/>
            <w:tcBorders>
              <w:top w:val="nil"/>
              <w:left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0,300</w:t>
            </w:r>
          </w:p>
        </w:tc>
        <w:tc>
          <w:tcPr>
            <w:tcW w:w="627" w:type="dxa"/>
            <w:tcBorders>
              <w:top w:val="nil"/>
              <w:left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0,163</w:t>
            </w:r>
          </w:p>
        </w:tc>
        <w:tc>
          <w:tcPr>
            <w:tcW w:w="704" w:type="dxa"/>
            <w:tcBorders>
              <w:top w:val="nil"/>
              <w:left w:val="nil"/>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0,269</w:t>
            </w:r>
          </w:p>
        </w:tc>
        <w:tc>
          <w:tcPr>
            <w:tcW w:w="593" w:type="dxa"/>
            <w:tcBorders>
              <w:top w:val="nil"/>
              <w:left w:val="nil"/>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0,177</w:t>
            </w:r>
          </w:p>
        </w:tc>
        <w:tc>
          <w:tcPr>
            <w:tcW w:w="641" w:type="dxa"/>
            <w:tcBorders>
              <w:top w:val="nil"/>
              <w:left w:val="nil"/>
              <w:right w:val="nil"/>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0,291</w:t>
            </w:r>
          </w:p>
        </w:tc>
      </w:tr>
      <w:tr w:rsidR="00C45C75" w:rsidRPr="00B26462" w:rsidTr="00C45C75">
        <w:trPr>
          <w:trHeight w:val="307"/>
        </w:trPr>
        <w:tc>
          <w:tcPr>
            <w:tcW w:w="745" w:type="dxa"/>
            <w:vMerge/>
            <w:tcBorders>
              <w:left w:val="nil"/>
              <w:right w:val="single" w:sz="4" w:space="0" w:color="auto"/>
            </w:tcBorders>
            <w:shd w:val="clear" w:color="auto" w:fill="auto"/>
            <w:noWrap/>
            <w:vAlign w:val="center"/>
            <w:hideMark/>
          </w:tcPr>
          <w:p w:rsidR="00C45C75" w:rsidRPr="00074BBA" w:rsidRDefault="00C45C75" w:rsidP="00074BBA">
            <w:pPr>
              <w:spacing w:after="0" w:line="240" w:lineRule="auto"/>
              <w:rPr>
                <w:rFonts w:ascii="Times New Roman" w:eastAsia="Times New Roman" w:hAnsi="Times New Roman" w:cs="Times New Roman"/>
                <w:b/>
                <w:color w:val="000000"/>
                <w:sz w:val="18"/>
                <w:szCs w:val="18"/>
                <w:lang w:eastAsia="pt-BR"/>
              </w:rPr>
            </w:pPr>
          </w:p>
        </w:tc>
        <w:tc>
          <w:tcPr>
            <w:tcW w:w="745" w:type="dxa"/>
            <w:tcBorders>
              <w:left w:val="single" w:sz="4" w:space="0" w:color="auto"/>
              <w:bottom w:val="single" w:sz="4" w:space="0" w:color="auto"/>
              <w:right w:val="single" w:sz="4" w:space="0" w:color="auto"/>
            </w:tcBorders>
            <w:shd w:val="clear" w:color="auto" w:fill="auto"/>
            <w:vAlign w:val="center"/>
          </w:tcPr>
          <w:p w:rsidR="00C45C75" w:rsidRPr="00074BBA" w:rsidRDefault="00C45C75" w:rsidP="00074BBA">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TB</w:t>
            </w:r>
            <w:r w:rsidRPr="00074BBA">
              <w:rPr>
                <w:rFonts w:ascii="Times New Roman" w:eastAsia="Times New Roman" w:hAnsi="Times New Roman" w:cs="Times New Roman"/>
                <w:i/>
                <w:color w:val="000000"/>
                <w:sz w:val="18"/>
                <w:szCs w:val="18"/>
                <w:vertAlign w:val="subscript"/>
                <w:lang w:eastAsia="pt-BR"/>
              </w:rPr>
              <w:t>mes</w:t>
            </w:r>
          </w:p>
        </w:tc>
        <w:tc>
          <w:tcPr>
            <w:tcW w:w="649" w:type="dxa"/>
            <w:tcBorders>
              <w:top w:val="nil"/>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0,177</w:t>
            </w:r>
          </w:p>
        </w:tc>
        <w:tc>
          <w:tcPr>
            <w:tcW w:w="651" w:type="dxa"/>
            <w:gridSpan w:val="2"/>
            <w:tcBorders>
              <w:top w:val="nil"/>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0,448</w:t>
            </w:r>
          </w:p>
        </w:tc>
        <w:tc>
          <w:tcPr>
            <w:tcW w:w="590" w:type="dxa"/>
            <w:gridSpan w:val="2"/>
            <w:tcBorders>
              <w:top w:val="nil"/>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0,177</w:t>
            </w:r>
          </w:p>
        </w:tc>
        <w:tc>
          <w:tcPr>
            <w:tcW w:w="641" w:type="dxa"/>
            <w:gridSpan w:val="2"/>
            <w:tcBorders>
              <w:top w:val="nil"/>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0,430</w:t>
            </w:r>
          </w:p>
        </w:tc>
        <w:tc>
          <w:tcPr>
            <w:tcW w:w="590" w:type="dxa"/>
            <w:gridSpan w:val="2"/>
            <w:tcBorders>
              <w:top w:val="nil"/>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0,161</w:t>
            </w:r>
          </w:p>
        </w:tc>
        <w:tc>
          <w:tcPr>
            <w:tcW w:w="641" w:type="dxa"/>
            <w:tcBorders>
              <w:top w:val="nil"/>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0,427</w:t>
            </w:r>
          </w:p>
        </w:tc>
        <w:tc>
          <w:tcPr>
            <w:tcW w:w="590" w:type="dxa"/>
            <w:tcBorders>
              <w:top w:val="nil"/>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0,163</w:t>
            </w:r>
          </w:p>
        </w:tc>
        <w:tc>
          <w:tcPr>
            <w:tcW w:w="641" w:type="dxa"/>
            <w:tcBorders>
              <w:top w:val="nil"/>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0,400</w:t>
            </w:r>
          </w:p>
        </w:tc>
        <w:tc>
          <w:tcPr>
            <w:tcW w:w="627" w:type="dxa"/>
            <w:tcBorders>
              <w:top w:val="nil"/>
              <w:left w:val="nil"/>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0,165</w:t>
            </w:r>
          </w:p>
        </w:tc>
        <w:tc>
          <w:tcPr>
            <w:tcW w:w="704" w:type="dxa"/>
            <w:tcBorders>
              <w:top w:val="nil"/>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0,383</w:t>
            </w:r>
          </w:p>
        </w:tc>
        <w:tc>
          <w:tcPr>
            <w:tcW w:w="593" w:type="dxa"/>
            <w:tcBorders>
              <w:top w:val="nil"/>
              <w:left w:val="nil"/>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0,169</w:t>
            </w:r>
          </w:p>
        </w:tc>
        <w:tc>
          <w:tcPr>
            <w:tcW w:w="641" w:type="dxa"/>
            <w:tcBorders>
              <w:top w:val="nil"/>
              <w:left w:val="nil"/>
              <w:bottom w:val="single" w:sz="4" w:space="0" w:color="auto"/>
              <w:right w:val="nil"/>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0,355</w:t>
            </w:r>
          </w:p>
        </w:tc>
      </w:tr>
      <w:tr w:rsidR="00C45C75" w:rsidRPr="00B26462" w:rsidTr="00C45C75">
        <w:trPr>
          <w:trHeight w:val="307"/>
        </w:trPr>
        <w:tc>
          <w:tcPr>
            <w:tcW w:w="745" w:type="dxa"/>
            <w:vMerge/>
            <w:tcBorders>
              <w:left w:val="nil"/>
              <w:bottom w:val="single" w:sz="4" w:space="0" w:color="auto"/>
              <w:right w:val="single" w:sz="4" w:space="0" w:color="auto"/>
            </w:tcBorders>
            <w:shd w:val="clear" w:color="auto" w:fill="auto"/>
            <w:noWrap/>
            <w:vAlign w:val="center"/>
            <w:hideMark/>
          </w:tcPr>
          <w:p w:rsidR="00C45C75" w:rsidRPr="00074BBA" w:rsidRDefault="00C45C75" w:rsidP="00074BBA">
            <w:pPr>
              <w:spacing w:after="0" w:line="240" w:lineRule="auto"/>
              <w:rPr>
                <w:rFonts w:ascii="Times New Roman" w:eastAsia="Times New Roman" w:hAnsi="Times New Roman" w:cs="Times New Roman"/>
                <w:b/>
                <w:color w:val="000000"/>
                <w:sz w:val="18"/>
                <w:szCs w:val="18"/>
                <w:lang w:eastAsia="pt-BR"/>
              </w:rPr>
            </w:pPr>
          </w:p>
        </w:tc>
        <w:tc>
          <w:tcPr>
            <w:tcW w:w="745" w:type="dxa"/>
            <w:tcBorders>
              <w:top w:val="single" w:sz="4" w:space="0" w:color="auto"/>
              <w:left w:val="single" w:sz="4" w:space="0" w:color="auto"/>
              <w:bottom w:val="single" w:sz="4" w:space="0" w:color="auto"/>
              <w:right w:val="single" w:sz="4" w:space="0" w:color="auto"/>
            </w:tcBorders>
            <w:shd w:val="clear" w:color="auto" w:fill="auto"/>
            <w:vAlign w:val="center"/>
          </w:tcPr>
          <w:p w:rsidR="00C45C75" w:rsidRPr="00074BBA" w:rsidRDefault="00C45C75" w:rsidP="00074BBA">
            <w:pPr>
              <w:spacing w:after="0" w:line="240" w:lineRule="auto"/>
              <w:jc w:val="center"/>
              <w:rPr>
                <w:rFonts w:ascii="Times New Roman" w:eastAsia="Times New Roman" w:hAnsi="Times New Roman" w:cs="Times New Roman"/>
                <w:i/>
                <w:color w:val="000000"/>
                <w:sz w:val="18"/>
                <w:szCs w:val="18"/>
                <w:lang w:eastAsia="pt-BR"/>
              </w:rPr>
            </w:pPr>
            <w:r w:rsidRPr="00074BBA">
              <w:rPr>
                <w:rFonts w:ascii="Times New Roman" w:eastAsia="Times New Roman" w:hAnsi="Times New Roman" w:cs="Times New Roman"/>
                <w:i/>
                <w:color w:val="000000"/>
                <w:sz w:val="18"/>
                <w:szCs w:val="18"/>
                <w:lang w:eastAsia="pt-BR"/>
              </w:rPr>
              <w:t>T</w:t>
            </w:r>
          </w:p>
        </w:tc>
        <w:tc>
          <w:tcPr>
            <w:tcW w:w="649" w:type="dxa"/>
            <w:tcBorders>
              <w:top w:val="single" w:sz="4" w:space="0" w:color="auto"/>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0,565</w:t>
            </w:r>
          </w:p>
        </w:tc>
        <w:tc>
          <w:tcPr>
            <w:tcW w:w="651" w:type="dxa"/>
            <w:gridSpan w:val="2"/>
            <w:tcBorders>
              <w:top w:val="single" w:sz="4" w:space="0" w:color="auto"/>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1,742</w:t>
            </w:r>
          </w:p>
        </w:tc>
        <w:tc>
          <w:tcPr>
            <w:tcW w:w="590" w:type="dxa"/>
            <w:gridSpan w:val="2"/>
            <w:tcBorders>
              <w:top w:val="single" w:sz="4" w:space="0" w:color="auto"/>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0,640</w:t>
            </w:r>
          </w:p>
        </w:tc>
        <w:tc>
          <w:tcPr>
            <w:tcW w:w="641" w:type="dxa"/>
            <w:gridSpan w:val="2"/>
            <w:tcBorders>
              <w:top w:val="single" w:sz="4" w:space="0" w:color="auto"/>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1,676</w:t>
            </w:r>
          </w:p>
        </w:tc>
        <w:tc>
          <w:tcPr>
            <w:tcW w:w="590" w:type="dxa"/>
            <w:gridSpan w:val="2"/>
            <w:tcBorders>
              <w:top w:val="single" w:sz="4" w:space="0" w:color="auto"/>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0,681</w:t>
            </w:r>
          </w:p>
        </w:tc>
        <w:tc>
          <w:tcPr>
            <w:tcW w:w="641" w:type="dxa"/>
            <w:tcBorders>
              <w:top w:val="single" w:sz="4" w:space="0" w:color="auto"/>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1,726</w:t>
            </w:r>
          </w:p>
        </w:tc>
        <w:tc>
          <w:tcPr>
            <w:tcW w:w="590" w:type="dxa"/>
            <w:tcBorders>
              <w:top w:val="single" w:sz="4" w:space="0" w:color="auto"/>
              <w:left w:val="single" w:sz="4" w:space="0" w:color="auto"/>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0,742</w:t>
            </w:r>
          </w:p>
        </w:tc>
        <w:tc>
          <w:tcPr>
            <w:tcW w:w="641" w:type="dxa"/>
            <w:tcBorders>
              <w:top w:val="single" w:sz="4" w:space="0" w:color="auto"/>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1,689</w:t>
            </w:r>
          </w:p>
        </w:tc>
        <w:tc>
          <w:tcPr>
            <w:tcW w:w="627" w:type="dxa"/>
            <w:tcBorders>
              <w:top w:val="single" w:sz="4" w:space="0" w:color="auto"/>
              <w:left w:val="nil"/>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0,812</w:t>
            </w:r>
          </w:p>
        </w:tc>
        <w:tc>
          <w:tcPr>
            <w:tcW w:w="704" w:type="dxa"/>
            <w:tcBorders>
              <w:top w:val="single" w:sz="4" w:space="0" w:color="auto"/>
              <w:left w:val="nil"/>
              <w:bottom w:val="single" w:sz="4" w:space="0" w:color="auto"/>
              <w:right w:val="single" w:sz="4" w:space="0" w:color="auto"/>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1,599</w:t>
            </w:r>
          </w:p>
        </w:tc>
        <w:tc>
          <w:tcPr>
            <w:tcW w:w="593" w:type="dxa"/>
            <w:tcBorders>
              <w:top w:val="single" w:sz="4" w:space="0" w:color="auto"/>
              <w:left w:val="nil"/>
              <w:bottom w:val="single" w:sz="4" w:space="0" w:color="auto"/>
              <w:right w:val="nil"/>
            </w:tcBorders>
            <w:shd w:val="clear" w:color="auto" w:fill="auto"/>
            <w:noWrap/>
            <w:vAlign w:val="bottom"/>
            <w:hideMark/>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0,838</w:t>
            </w:r>
          </w:p>
        </w:tc>
        <w:tc>
          <w:tcPr>
            <w:tcW w:w="641" w:type="dxa"/>
            <w:tcBorders>
              <w:top w:val="single" w:sz="4" w:space="0" w:color="auto"/>
              <w:left w:val="nil"/>
              <w:bottom w:val="single" w:sz="4" w:space="0" w:color="auto"/>
              <w:right w:val="nil"/>
            </w:tcBorders>
            <w:vAlign w:val="bottom"/>
          </w:tcPr>
          <w:p w:rsidR="00C45C75" w:rsidRPr="00074BBA" w:rsidRDefault="00C45C75" w:rsidP="00074BBA">
            <w:pPr>
              <w:spacing w:after="0" w:line="240" w:lineRule="auto"/>
              <w:jc w:val="right"/>
              <w:rPr>
                <w:rFonts w:ascii="Times New Roman" w:hAnsi="Times New Roman" w:cs="Times New Roman"/>
                <w:color w:val="000000"/>
                <w:sz w:val="20"/>
                <w:szCs w:val="20"/>
              </w:rPr>
            </w:pPr>
            <w:r w:rsidRPr="00074BBA">
              <w:rPr>
                <w:rFonts w:ascii="Times New Roman" w:hAnsi="Times New Roman" w:cs="Times New Roman"/>
                <w:color w:val="000000"/>
                <w:sz w:val="20"/>
                <w:szCs w:val="20"/>
              </w:rPr>
              <w:t>1,532</w:t>
            </w:r>
          </w:p>
        </w:tc>
      </w:tr>
    </w:tbl>
    <w:p w:rsidR="00E87B55" w:rsidRPr="00834206" w:rsidRDefault="00E87B55" w:rsidP="00E87B55">
      <w:pPr>
        <w:spacing w:line="240" w:lineRule="auto"/>
        <w:jc w:val="center"/>
        <w:rPr>
          <w:rStyle w:val="Hyperlink"/>
          <w:rFonts w:ascii="Times New Roman" w:hAnsi="Times New Roman" w:cs="Times New Roman"/>
          <w:color w:val="FF0000"/>
          <w:sz w:val="24"/>
          <w:szCs w:val="24"/>
          <w:u w:val="none"/>
        </w:rPr>
      </w:pPr>
      <w:r w:rsidRPr="00834206">
        <w:rPr>
          <w:rFonts w:ascii="Times New Roman" w:eastAsia="Times New Roman" w:hAnsi="Times New Roman" w:cs="Times New Roman"/>
          <w:bCs/>
          <w:color w:val="000000"/>
          <w:sz w:val="20"/>
          <w:szCs w:val="20"/>
          <w:lang w:eastAsia="pt-BR"/>
        </w:rPr>
        <w:t>Fonte:</w:t>
      </w:r>
      <w:r w:rsidRPr="00834206">
        <w:rPr>
          <w:rFonts w:ascii="Times New Roman" w:eastAsia="Times New Roman" w:hAnsi="Times New Roman" w:cs="Times New Roman"/>
          <w:color w:val="000000"/>
          <w:sz w:val="20"/>
          <w:szCs w:val="20"/>
          <w:lang w:eastAsia="pt-BR"/>
        </w:rPr>
        <w:t xml:space="preserve"> Elaboração Própria: IBGE - PIB dos Municípios/ RAIZ/CAGED /SUFRAMA, 2002-2012.</w:t>
      </w:r>
    </w:p>
    <w:p w:rsidR="00C8680D" w:rsidRDefault="00C8680D" w:rsidP="00563A7E">
      <w:pPr>
        <w:spacing w:line="240" w:lineRule="auto"/>
        <w:rPr>
          <w:rStyle w:val="Hyperlink"/>
          <w:rFonts w:ascii="Times New Roman" w:hAnsi="Times New Roman" w:cs="Times New Roman"/>
          <w:color w:val="000000" w:themeColor="text1"/>
          <w:sz w:val="20"/>
          <w:szCs w:val="20"/>
          <w:u w:val="none"/>
        </w:rPr>
      </w:pPr>
    </w:p>
    <w:p w:rsidR="00C8680D" w:rsidRPr="002E7659" w:rsidRDefault="00C8680D" w:rsidP="00275B56">
      <w:pPr>
        <w:spacing w:line="240" w:lineRule="auto"/>
        <w:ind w:firstLine="709"/>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Percebe-se</w:t>
      </w:r>
      <w:r w:rsidR="00497AC6">
        <w:rPr>
          <w:rStyle w:val="Hyperlink"/>
          <w:rFonts w:ascii="Times New Roman" w:hAnsi="Times New Roman" w:cs="Times New Roman"/>
          <w:color w:val="000000" w:themeColor="text1"/>
          <w:sz w:val="24"/>
          <w:szCs w:val="24"/>
          <w:u w:val="none"/>
        </w:rPr>
        <w:t xml:space="preserve"> que a redução das microrregiões </w:t>
      </w:r>
      <w:r w:rsidR="00275B56">
        <w:rPr>
          <w:rStyle w:val="Hyperlink"/>
          <w:rFonts w:ascii="Times New Roman" w:hAnsi="Times New Roman" w:cs="Times New Roman"/>
          <w:color w:val="000000" w:themeColor="text1"/>
          <w:sz w:val="24"/>
          <w:szCs w:val="24"/>
          <w:u w:val="none"/>
        </w:rPr>
        <w:t>é</w:t>
      </w:r>
      <w:r w:rsidR="00497AC6">
        <w:rPr>
          <w:rStyle w:val="Hyperlink"/>
          <w:rFonts w:ascii="Times New Roman" w:hAnsi="Times New Roman" w:cs="Times New Roman"/>
          <w:color w:val="000000" w:themeColor="text1"/>
          <w:sz w:val="24"/>
          <w:szCs w:val="24"/>
          <w:u w:val="none"/>
        </w:rPr>
        <w:t xml:space="preserve"> mais acentuada nas que pertencem às mesorregiões do Agreste e do São Francisco</w:t>
      </w:r>
      <w:r w:rsidR="00AE6A8D">
        <w:rPr>
          <w:rStyle w:val="Hyperlink"/>
          <w:rFonts w:ascii="Times New Roman" w:hAnsi="Times New Roman" w:cs="Times New Roman"/>
          <w:color w:val="000000" w:themeColor="text1"/>
          <w:sz w:val="24"/>
          <w:szCs w:val="24"/>
          <w:u w:val="none"/>
        </w:rPr>
        <w:t xml:space="preserve"> Pernambucano</w:t>
      </w:r>
      <w:r w:rsidR="00497AC6">
        <w:rPr>
          <w:rStyle w:val="Hyperlink"/>
          <w:rFonts w:ascii="Times New Roman" w:hAnsi="Times New Roman" w:cs="Times New Roman"/>
          <w:color w:val="000000" w:themeColor="text1"/>
          <w:sz w:val="24"/>
          <w:szCs w:val="24"/>
          <w:u w:val="none"/>
        </w:rPr>
        <w:t>. Diante deste resultado pode-se afirmar que a desigualdade a partir do PIB pernambucano reduziu, representando que o estado está mais igual economicamente</w:t>
      </w:r>
      <w:r w:rsidR="009728E9">
        <w:rPr>
          <w:rStyle w:val="Hyperlink"/>
          <w:rFonts w:ascii="Times New Roman" w:hAnsi="Times New Roman" w:cs="Times New Roman"/>
          <w:color w:val="000000" w:themeColor="text1"/>
          <w:sz w:val="24"/>
          <w:szCs w:val="24"/>
          <w:u w:val="none"/>
        </w:rPr>
        <w:t xml:space="preserve">, mas que essa desigualdade pelo PIB ainda </w:t>
      </w:r>
      <w:r w:rsidR="00AE6A8D">
        <w:rPr>
          <w:rStyle w:val="Hyperlink"/>
          <w:rFonts w:ascii="Times New Roman" w:hAnsi="Times New Roman" w:cs="Times New Roman"/>
          <w:color w:val="000000" w:themeColor="text1"/>
          <w:sz w:val="24"/>
          <w:szCs w:val="24"/>
          <w:u w:val="none"/>
        </w:rPr>
        <w:t>é</w:t>
      </w:r>
      <w:r w:rsidR="009728E9">
        <w:rPr>
          <w:rStyle w:val="Hyperlink"/>
          <w:rFonts w:ascii="Times New Roman" w:hAnsi="Times New Roman" w:cs="Times New Roman"/>
          <w:color w:val="000000" w:themeColor="text1"/>
          <w:sz w:val="24"/>
          <w:szCs w:val="24"/>
          <w:u w:val="none"/>
        </w:rPr>
        <w:t xml:space="preserve"> grande quando </w:t>
      </w:r>
      <w:r w:rsidR="009728E9" w:rsidRPr="002E7659">
        <w:rPr>
          <w:rStyle w:val="Hyperlink"/>
          <w:rFonts w:ascii="Times New Roman" w:hAnsi="Times New Roman" w:cs="Times New Roman"/>
          <w:color w:val="auto"/>
          <w:sz w:val="24"/>
          <w:szCs w:val="24"/>
          <w:u w:val="none"/>
        </w:rPr>
        <w:t xml:space="preserve">analisado dentro da microrregião. </w:t>
      </w:r>
    </w:p>
    <w:p w:rsidR="000B0E07" w:rsidRDefault="00B708DD" w:rsidP="00A76341">
      <w:pPr>
        <w:spacing w:line="240" w:lineRule="auto"/>
        <w:ind w:firstLine="709"/>
        <w:jc w:val="both"/>
        <w:rPr>
          <w:rStyle w:val="Hyperlink"/>
          <w:rFonts w:ascii="Times New Roman" w:hAnsi="Times New Roman" w:cs="Times New Roman"/>
          <w:color w:val="auto"/>
          <w:sz w:val="24"/>
          <w:szCs w:val="24"/>
          <w:u w:val="none"/>
        </w:rPr>
      </w:pPr>
      <w:r w:rsidRPr="002E7659">
        <w:rPr>
          <w:rStyle w:val="Hyperlink"/>
          <w:rFonts w:ascii="Times New Roman" w:hAnsi="Times New Roman" w:cs="Times New Roman"/>
          <w:color w:val="auto"/>
          <w:sz w:val="24"/>
          <w:szCs w:val="24"/>
          <w:u w:val="none"/>
        </w:rPr>
        <w:t>Por fim</w:t>
      </w:r>
      <w:r w:rsidR="002E7659" w:rsidRPr="002E7659">
        <w:rPr>
          <w:rStyle w:val="Hyperlink"/>
          <w:rFonts w:ascii="Times New Roman" w:hAnsi="Times New Roman" w:cs="Times New Roman"/>
          <w:color w:val="auto"/>
          <w:sz w:val="24"/>
          <w:szCs w:val="24"/>
          <w:u w:val="none"/>
        </w:rPr>
        <w:t xml:space="preserve">, </w:t>
      </w:r>
      <w:r w:rsidRPr="002E7659">
        <w:rPr>
          <w:rStyle w:val="Hyperlink"/>
          <w:rFonts w:ascii="Times New Roman" w:hAnsi="Times New Roman" w:cs="Times New Roman"/>
          <w:color w:val="auto"/>
          <w:sz w:val="24"/>
          <w:szCs w:val="24"/>
          <w:u w:val="none"/>
        </w:rPr>
        <w:t xml:space="preserve">a decomposição de Theil-T com a renda média do pessoal ocupado </w:t>
      </w:r>
      <w:r w:rsidR="002E7659" w:rsidRPr="002E7659">
        <w:rPr>
          <w:rStyle w:val="Hyperlink"/>
          <w:rFonts w:ascii="Times New Roman" w:hAnsi="Times New Roman" w:cs="Times New Roman"/>
          <w:color w:val="auto"/>
          <w:sz w:val="24"/>
          <w:szCs w:val="24"/>
          <w:u w:val="none"/>
        </w:rPr>
        <w:t>em dois níveis, o</w:t>
      </w:r>
      <w:r w:rsidRPr="002E7659">
        <w:rPr>
          <w:rStyle w:val="Hyperlink"/>
          <w:rFonts w:ascii="Times New Roman" w:hAnsi="Times New Roman" w:cs="Times New Roman"/>
          <w:color w:val="auto"/>
          <w:sz w:val="24"/>
          <w:szCs w:val="24"/>
          <w:u w:val="none"/>
        </w:rPr>
        <w:t xml:space="preserve">bserva-se que a disparidade dentro das microrregiões é </w:t>
      </w:r>
      <w:r w:rsidR="002E7659" w:rsidRPr="002E7659">
        <w:rPr>
          <w:rStyle w:val="Hyperlink"/>
          <w:rFonts w:ascii="Times New Roman" w:hAnsi="Times New Roman" w:cs="Times New Roman"/>
          <w:color w:val="auto"/>
          <w:sz w:val="24"/>
          <w:szCs w:val="24"/>
          <w:u w:val="none"/>
        </w:rPr>
        <w:t>alta</w:t>
      </w:r>
      <w:r w:rsidRPr="002E7659">
        <w:rPr>
          <w:rStyle w:val="Hyperlink"/>
          <w:rFonts w:ascii="Times New Roman" w:hAnsi="Times New Roman" w:cs="Times New Roman"/>
          <w:color w:val="auto"/>
          <w:sz w:val="24"/>
          <w:szCs w:val="24"/>
          <w:u w:val="none"/>
        </w:rPr>
        <w:t xml:space="preserve"> chegando a explicar cerca de 60% desta diferença na renda media da população ocupada, o que de certo modo se pode afirmar que a diferença dentro de cada região, seja ela conjuntural ou estrutural, se torna um grande impasse para o aumento da renda média pernambucana.</w:t>
      </w:r>
    </w:p>
    <w:p w:rsidR="00A76341" w:rsidRPr="00A76341" w:rsidRDefault="00A76341" w:rsidP="00A76341">
      <w:pPr>
        <w:spacing w:line="240" w:lineRule="auto"/>
        <w:ind w:firstLine="709"/>
        <w:jc w:val="both"/>
        <w:rPr>
          <w:rStyle w:val="Hyperlink"/>
          <w:rFonts w:ascii="Times New Roman" w:hAnsi="Times New Roman" w:cs="Times New Roman"/>
          <w:color w:val="auto"/>
          <w:sz w:val="24"/>
          <w:szCs w:val="24"/>
          <w:u w:val="none"/>
        </w:rPr>
      </w:pPr>
    </w:p>
    <w:p w:rsidR="009A5D86" w:rsidRPr="00A76341" w:rsidRDefault="00563A7E" w:rsidP="00A76341">
      <w:pPr>
        <w:spacing w:line="240" w:lineRule="auto"/>
        <w:rPr>
          <w:rStyle w:val="Hyperlink"/>
          <w:rFonts w:ascii="Times New Roman" w:hAnsi="Times New Roman" w:cs="Times New Roman"/>
          <w:b/>
          <w:color w:val="000000" w:themeColor="text1"/>
          <w:sz w:val="24"/>
          <w:szCs w:val="24"/>
          <w:u w:val="none"/>
        </w:rPr>
      </w:pPr>
      <w:r>
        <w:rPr>
          <w:rStyle w:val="Hyperlink"/>
          <w:rFonts w:ascii="Times New Roman" w:hAnsi="Times New Roman" w:cs="Times New Roman"/>
          <w:b/>
          <w:color w:val="000000" w:themeColor="text1"/>
          <w:sz w:val="24"/>
          <w:szCs w:val="24"/>
          <w:u w:val="none"/>
        </w:rPr>
        <w:t>6</w:t>
      </w:r>
      <w:r w:rsidRPr="009F1AD3">
        <w:rPr>
          <w:rStyle w:val="Hyperlink"/>
          <w:rFonts w:ascii="Times New Roman" w:hAnsi="Times New Roman" w:cs="Times New Roman"/>
          <w:b/>
          <w:color w:val="000000" w:themeColor="text1"/>
          <w:sz w:val="24"/>
          <w:szCs w:val="24"/>
          <w:u w:val="none"/>
        </w:rPr>
        <w:t>. CONSIDERAÇÕES FINAIS</w:t>
      </w:r>
    </w:p>
    <w:p w:rsidR="00821A80" w:rsidRDefault="006A6205" w:rsidP="008A317D">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 análise intra-microrregião das desigualdades no PIB e na renda média feitas para Pernambuco no período de 2002/2012 revelou fatos de importantes contribuições para a literatura sobre a desigualdade regional em Pernambuco.</w:t>
      </w:r>
      <w:r w:rsidR="004F2453">
        <w:rPr>
          <w:rStyle w:val="Hyperlink"/>
          <w:rFonts w:ascii="Times New Roman" w:hAnsi="Times New Roman" w:cs="Times New Roman"/>
          <w:color w:val="000000" w:themeColor="text1"/>
          <w:sz w:val="24"/>
          <w:szCs w:val="24"/>
          <w:u w:val="none"/>
        </w:rPr>
        <w:t xml:space="preserve"> A análise da desigualdade pelo PIB pernambucano têm-se aumentado ao longo do período analisado, enquanto que a desigualdade medida pela renda média têm-se reduzido, mas quando comparado com o índice do PIB, este último é significativamente menor.</w:t>
      </w:r>
    </w:p>
    <w:p w:rsidR="008A317D" w:rsidRDefault="009F1AD3" w:rsidP="008A317D">
      <w:pPr>
        <w:spacing w:line="240" w:lineRule="auto"/>
        <w:ind w:firstLine="709"/>
        <w:jc w:val="both"/>
        <w:rPr>
          <w:rStyle w:val="Hyperlink"/>
          <w:rFonts w:ascii="Times New Roman" w:hAnsi="Times New Roman" w:cs="Times New Roman"/>
          <w:color w:val="000000" w:themeColor="text1"/>
          <w:sz w:val="24"/>
          <w:szCs w:val="24"/>
          <w:u w:val="none"/>
        </w:rPr>
      </w:pPr>
      <w:r w:rsidRPr="009F1AD3">
        <w:rPr>
          <w:rStyle w:val="Hyperlink"/>
          <w:rFonts w:ascii="Times New Roman" w:hAnsi="Times New Roman" w:cs="Times New Roman"/>
          <w:color w:val="000000" w:themeColor="text1"/>
          <w:sz w:val="24"/>
          <w:szCs w:val="24"/>
          <w:u w:val="none"/>
        </w:rPr>
        <w:t>Os resultados apontam que em Pernambuco o fator que explica melhor a diferença do</w:t>
      </w:r>
      <w:r w:rsidR="00215EDB">
        <w:rPr>
          <w:rStyle w:val="Hyperlink"/>
          <w:rFonts w:ascii="Times New Roman" w:hAnsi="Times New Roman" w:cs="Times New Roman"/>
          <w:color w:val="000000" w:themeColor="text1"/>
          <w:sz w:val="24"/>
          <w:szCs w:val="24"/>
          <w:u w:val="none"/>
        </w:rPr>
        <w:t xml:space="preserve"> PIB, está na diferença</w:t>
      </w:r>
      <w:r w:rsidRPr="009F1AD3">
        <w:rPr>
          <w:rStyle w:val="Hyperlink"/>
          <w:rFonts w:ascii="Times New Roman" w:hAnsi="Times New Roman" w:cs="Times New Roman"/>
          <w:color w:val="000000" w:themeColor="text1"/>
          <w:sz w:val="24"/>
          <w:szCs w:val="24"/>
          <w:u w:val="none"/>
        </w:rPr>
        <w:t xml:space="preserve"> dentro das microrregiões. Como se observou </w:t>
      </w:r>
      <w:r w:rsidR="00215EDB">
        <w:rPr>
          <w:rStyle w:val="Hyperlink"/>
          <w:rFonts w:ascii="Times New Roman" w:hAnsi="Times New Roman" w:cs="Times New Roman"/>
          <w:color w:val="000000" w:themeColor="text1"/>
          <w:sz w:val="24"/>
          <w:szCs w:val="24"/>
          <w:u w:val="none"/>
        </w:rPr>
        <w:t>na primeira decomposição</w:t>
      </w:r>
      <w:r w:rsidR="004E5733">
        <w:rPr>
          <w:rStyle w:val="Hyperlink"/>
          <w:rFonts w:ascii="Times New Roman" w:hAnsi="Times New Roman" w:cs="Times New Roman"/>
          <w:color w:val="000000" w:themeColor="text1"/>
          <w:sz w:val="24"/>
          <w:szCs w:val="24"/>
          <w:u w:val="none"/>
        </w:rPr>
        <w:t>, em relação ao PIB,</w:t>
      </w:r>
      <w:r w:rsidR="00EE4033">
        <w:rPr>
          <w:rStyle w:val="Hyperlink"/>
          <w:rFonts w:ascii="Times New Roman" w:hAnsi="Times New Roman" w:cs="Times New Roman"/>
          <w:color w:val="000000" w:themeColor="text1"/>
          <w:sz w:val="24"/>
          <w:szCs w:val="24"/>
          <w:u w:val="none"/>
        </w:rPr>
        <w:t xml:space="preserve"> em 2002</w:t>
      </w:r>
      <w:r w:rsidRPr="009F1AD3">
        <w:rPr>
          <w:rStyle w:val="Hyperlink"/>
          <w:rFonts w:ascii="Times New Roman" w:hAnsi="Times New Roman" w:cs="Times New Roman"/>
          <w:color w:val="000000" w:themeColor="text1"/>
          <w:sz w:val="24"/>
          <w:szCs w:val="24"/>
          <w:u w:val="none"/>
        </w:rPr>
        <w:t xml:space="preserve">, </w:t>
      </w:r>
      <w:r w:rsidR="00EE4033">
        <w:rPr>
          <w:rStyle w:val="Hyperlink"/>
          <w:rFonts w:ascii="Times New Roman" w:hAnsi="Times New Roman" w:cs="Times New Roman"/>
          <w:color w:val="000000" w:themeColor="text1"/>
          <w:sz w:val="24"/>
          <w:szCs w:val="24"/>
          <w:u w:val="none"/>
        </w:rPr>
        <w:t>31</w:t>
      </w:r>
      <w:r w:rsidRPr="009F1AD3">
        <w:rPr>
          <w:rStyle w:val="Hyperlink"/>
          <w:rFonts w:ascii="Times New Roman" w:hAnsi="Times New Roman" w:cs="Times New Roman"/>
          <w:color w:val="000000" w:themeColor="text1"/>
          <w:sz w:val="24"/>
          <w:szCs w:val="24"/>
          <w:u w:val="none"/>
        </w:rPr>
        <w:t xml:space="preserve">% da disparidade do PIB pernambucano era explicado por diferenças entre mesorregiões passando para </w:t>
      </w:r>
      <w:r w:rsidR="00215EDB">
        <w:rPr>
          <w:rStyle w:val="Hyperlink"/>
          <w:rFonts w:ascii="Times New Roman" w:hAnsi="Times New Roman" w:cs="Times New Roman"/>
          <w:color w:val="000000" w:themeColor="text1"/>
          <w:sz w:val="24"/>
          <w:szCs w:val="24"/>
          <w:u w:val="none"/>
        </w:rPr>
        <w:t>20</w:t>
      </w:r>
      <w:r w:rsidRPr="009F1AD3">
        <w:rPr>
          <w:rStyle w:val="Hyperlink"/>
          <w:rFonts w:ascii="Times New Roman" w:hAnsi="Times New Roman" w:cs="Times New Roman"/>
          <w:color w:val="000000" w:themeColor="text1"/>
          <w:sz w:val="24"/>
          <w:szCs w:val="24"/>
          <w:u w:val="none"/>
        </w:rPr>
        <w:t>% em 20</w:t>
      </w:r>
      <w:r w:rsidR="00215EDB">
        <w:rPr>
          <w:rStyle w:val="Hyperlink"/>
          <w:rFonts w:ascii="Times New Roman" w:hAnsi="Times New Roman" w:cs="Times New Roman"/>
          <w:color w:val="000000" w:themeColor="text1"/>
          <w:sz w:val="24"/>
          <w:szCs w:val="24"/>
          <w:u w:val="none"/>
        </w:rPr>
        <w:t>12, t</w:t>
      </w:r>
      <w:r w:rsidRPr="009F1AD3">
        <w:rPr>
          <w:rStyle w:val="Hyperlink"/>
          <w:rFonts w:ascii="Times New Roman" w:hAnsi="Times New Roman" w:cs="Times New Roman"/>
          <w:color w:val="000000" w:themeColor="text1"/>
          <w:sz w:val="24"/>
          <w:szCs w:val="24"/>
          <w:u w:val="none"/>
        </w:rPr>
        <w:t xml:space="preserve">endo uma razoável reduzida. Enquanto que na segunda decomposição em </w:t>
      </w:r>
      <w:r w:rsidR="00EE4033">
        <w:rPr>
          <w:rStyle w:val="Hyperlink"/>
          <w:rFonts w:ascii="Times New Roman" w:hAnsi="Times New Roman" w:cs="Times New Roman"/>
          <w:color w:val="000000" w:themeColor="text1"/>
          <w:sz w:val="24"/>
          <w:szCs w:val="24"/>
          <w:u w:val="none"/>
        </w:rPr>
        <w:t>2002 15</w:t>
      </w:r>
      <w:r w:rsidRPr="009F1AD3">
        <w:rPr>
          <w:rStyle w:val="Hyperlink"/>
          <w:rFonts w:ascii="Times New Roman" w:hAnsi="Times New Roman" w:cs="Times New Roman"/>
          <w:color w:val="000000" w:themeColor="text1"/>
          <w:sz w:val="24"/>
          <w:szCs w:val="24"/>
          <w:u w:val="none"/>
        </w:rPr>
        <w:t>% da desigualdade do PIB pernambucano era</w:t>
      </w:r>
      <w:r w:rsidR="008A317D">
        <w:rPr>
          <w:rStyle w:val="Hyperlink"/>
          <w:rFonts w:ascii="Times New Roman" w:hAnsi="Times New Roman" w:cs="Times New Roman"/>
          <w:color w:val="000000" w:themeColor="text1"/>
          <w:sz w:val="24"/>
          <w:szCs w:val="24"/>
          <w:u w:val="none"/>
        </w:rPr>
        <w:t xml:space="preserve"> explicado pela diferença</w:t>
      </w:r>
      <w:r w:rsidRPr="009F1AD3">
        <w:rPr>
          <w:rStyle w:val="Hyperlink"/>
          <w:rFonts w:ascii="Times New Roman" w:hAnsi="Times New Roman" w:cs="Times New Roman"/>
          <w:color w:val="000000" w:themeColor="text1"/>
          <w:sz w:val="24"/>
          <w:szCs w:val="24"/>
          <w:u w:val="none"/>
        </w:rPr>
        <w:t xml:space="preserve"> entre as microrregiões, em 20</w:t>
      </w:r>
      <w:r w:rsidR="008A317D">
        <w:rPr>
          <w:rStyle w:val="Hyperlink"/>
          <w:rFonts w:ascii="Times New Roman" w:hAnsi="Times New Roman" w:cs="Times New Roman"/>
          <w:color w:val="000000" w:themeColor="text1"/>
          <w:sz w:val="24"/>
          <w:szCs w:val="24"/>
          <w:u w:val="none"/>
        </w:rPr>
        <w:t>12</w:t>
      </w:r>
      <w:r w:rsidRPr="009F1AD3">
        <w:rPr>
          <w:rStyle w:val="Hyperlink"/>
          <w:rFonts w:ascii="Times New Roman" w:hAnsi="Times New Roman" w:cs="Times New Roman"/>
          <w:color w:val="000000" w:themeColor="text1"/>
          <w:sz w:val="24"/>
          <w:szCs w:val="24"/>
          <w:u w:val="none"/>
        </w:rPr>
        <w:t xml:space="preserve"> essa diferença n</w:t>
      </w:r>
      <w:r w:rsidR="008A317D">
        <w:rPr>
          <w:rStyle w:val="Hyperlink"/>
          <w:rFonts w:ascii="Times New Roman" w:hAnsi="Times New Roman" w:cs="Times New Roman"/>
          <w:color w:val="000000" w:themeColor="text1"/>
          <w:sz w:val="24"/>
          <w:szCs w:val="24"/>
          <w:u w:val="none"/>
        </w:rPr>
        <w:t>ão alterou muito com cerca de 21%,</w:t>
      </w:r>
      <w:r w:rsidRPr="009F1AD3">
        <w:rPr>
          <w:rStyle w:val="Hyperlink"/>
          <w:rFonts w:ascii="Times New Roman" w:hAnsi="Times New Roman" w:cs="Times New Roman"/>
          <w:color w:val="000000" w:themeColor="text1"/>
          <w:sz w:val="24"/>
          <w:szCs w:val="24"/>
          <w:u w:val="none"/>
        </w:rPr>
        <w:t xml:space="preserve"> mostrando uma el</w:t>
      </w:r>
      <w:r w:rsidR="00EE4033">
        <w:rPr>
          <w:rStyle w:val="Hyperlink"/>
          <w:rFonts w:ascii="Times New Roman" w:hAnsi="Times New Roman" w:cs="Times New Roman"/>
          <w:color w:val="000000" w:themeColor="text1"/>
          <w:sz w:val="24"/>
          <w:szCs w:val="24"/>
          <w:u w:val="none"/>
        </w:rPr>
        <w:t>evação razoável na desigualdade econômica.</w:t>
      </w:r>
    </w:p>
    <w:p w:rsidR="007C285A" w:rsidRDefault="00043E88" w:rsidP="008A317D">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Tendo como fator que melhor explica a desigu</w:t>
      </w:r>
      <w:r w:rsidR="00BC01F1">
        <w:rPr>
          <w:rStyle w:val="Hyperlink"/>
          <w:rFonts w:ascii="Times New Roman" w:hAnsi="Times New Roman" w:cs="Times New Roman"/>
          <w:color w:val="000000" w:themeColor="text1"/>
          <w:sz w:val="24"/>
          <w:szCs w:val="24"/>
          <w:u w:val="none"/>
        </w:rPr>
        <w:t>aldade dentro da microrregião, a renda média</w:t>
      </w:r>
      <w:r>
        <w:rPr>
          <w:rStyle w:val="Hyperlink"/>
          <w:rFonts w:ascii="Times New Roman" w:hAnsi="Times New Roman" w:cs="Times New Roman"/>
          <w:color w:val="000000" w:themeColor="text1"/>
          <w:sz w:val="24"/>
          <w:szCs w:val="24"/>
          <w:u w:val="none"/>
        </w:rPr>
        <w:t xml:space="preserve"> apresenta um índice elevado, n</w:t>
      </w:r>
      <w:r w:rsidR="007C285A">
        <w:rPr>
          <w:rStyle w:val="Hyperlink"/>
          <w:rFonts w:ascii="Times New Roman" w:hAnsi="Times New Roman" w:cs="Times New Roman"/>
          <w:color w:val="000000" w:themeColor="text1"/>
          <w:sz w:val="24"/>
          <w:szCs w:val="24"/>
          <w:u w:val="none"/>
        </w:rPr>
        <w:t>a primeira decomposição a disparidade era explicado por cerca de 75% entre</w:t>
      </w:r>
      <w:r w:rsidR="00C81CC7">
        <w:rPr>
          <w:rStyle w:val="Hyperlink"/>
          <w:rFonts w:ascii="Times New Roman" w:hAnsi="Times New Roman" w:cs="Times New Roman"/>
          <w:color w:val="000000" w:themeColor="text1"/>
          <w:sz w:val="24"/>
          <w:szCs w:val="24"/>
          <w:u w:val="none"/>
        </w:rPr>
        <w:t xml:space="preserve"> as mesorregiões</w:t>
      </w:r>
      <w:r w:rsidR="007C285A">
        <w:rPr>
          <w:rStyle w:val="Hyperlink"/>
          <w:rFonts w:ascii="Times New Roman" w:hAnsi="Times New Roman" w:cs="Times New Roman"/>
          <w:color w:val="000000" w:themeColor="text1"/>
          <w:sz w:val="24"/>
          <w:szCs w:val="24"/>
          <w:u w:val="none"/>
        </w:rPr>
        <w:t xml:space="preserve"> </w:t>
      </w:r>
      <w:r w:rsidR="00C81CC7">
        <w:rPr>
          <w:rStyle w:val="Hyperlink"/>
          <w:rFonts w:ascii="Times New Roman" w:hAnsi="Times New Roman" w:cs="Times New Roman"/>
          <w:color w:val="000000" w:themeColor="text1"/>
          <w:sz w:val="24"/>
          <w:szCs w:val="24"/>
          <w:u w:val="none"/>
        </w:rPr>
        <w:t>n</w:t>
      </w:r>
      <w:r w:rsidR="007C285A">
        <w:rPr>
          <w:rStyle w:val="Hyperlink"/>
          <w:rFonts w:ascii="Times New Roman" w:hAnsi="Times New Roman" w:cs="Times New Roman"/>
          <w:color w:val="000000" w:themeColor="text1"/>
          <w:sz w:val="24"/>
          <w:szCs w:val="24"/>
          <w:u w:val="none"/>
        </w:rPr>
        <w:t>os anos de 2002 a 2012, apresentado uma redução não significativa. Enquanto que na segunda decomposição</w:t>
      </w:r>
      <w:r w:rsidR="00C81CC7">
        <w:rPr>
          <w:rStyle w:val="Hyperlink"/>
          <w:rFonts w:ascii="Times New Roman" w:hAnsi="Times New Roman" w:cs="Times New Roman"/>
          <w:color w:val="000000" w:themeColor="text1"/>
          <w:sz w:val="24"/>
          <w:szCs w:val="24"/>
          <w:u w:val="none"/>
        </w:rPr>
        <w:t xml:space="preserve"> o índice captou que cerca de 57</w:t>
      </w:r>
      <w:r w:rsidR="007C285A">
        <w:rPr>
          <w:rStyle w:val="Hyperlink"/>
          <w:rFonts w:ascii="Times New Roman" w:hAnsi="Times New Roman" w:cs="Times New Roman"/>
          <w:color w:val="000000" w:themeColor="text1"/>
          <w:sz w:val="24"/>
          <w:szCs w:val="24"/>
          <w:u w:val="none"/>
        </w:rPr>
        <w:t>%</w:t>
      </w:r>
      <w:r w:rsidR="00C81CC7">
        <w:rPr>
          <w:rStyle w:val="Hyperlink"/>
          <w:rFonts w:ascii="Times New Roman" w:hAnsi="Times New Roman" w:cs="Times New Roman"/>
          <w:color w:val="000000" w:themeColor="text1"/>
          <w:sz w:val="24"/>
          <w:szCs w:val="24"/>
          <w:u w:val="none"/>
        </w:rPr>
        <w:t xml:space="preserve"> em 2002</w:t>
      </w:r>
      <w:r w:rsidR="007C285A">
        <w:rPr>
          <w:rStyle w:val="Hyperlink"/>
          <w:rFonts w:ascii="Times New Roman" w:hAnsi="Times New Roman" w:cs="Times New Roman"/>
          <w:color w:val="000000" w:themeColor="text1"/>
          <w:sz w:val="24"/>
          <w:szCs w:val="24"/>
          <w:u w:val="none"/>
        </w:rPr>
        <w:t xml:space="preserve"> pode ser explicado pela diferença de renda </w:t>
      </w:r>
      <w:r w:rsidR="00C81CC7">
        <w:rPr>
          <w:rStyle w:val="Hyperlink"/>
          <w:rFonts w:ascii="Times New Roman" w:hAnsi="Times New Roman" w:cs="Times New Roman"/>
          <w:color w:val="000000" w:themeColor="text1"/>
          <w:sz w:val="24"/>
          <w:szCs w:val="24"/>
          <w:u w:val="none"/>
        </w:rPr>
        <w:t>média dentro das microrregiões e 58% em 2012, um redução pouco significativa</w:t>
      </w:r>
      <w:r>
        <w:rPr>
          <w:rStyle w:val="Hyperlink"/>
          <w:rFonts w:ascii="Times New Roman" w:hAnsi="Times New Roman" w:cs="Times New Roman"/>
          <w:color w:val="000000" w:themeColor="text1"/>
          <w:sz w:val="24"/>
          <w:szCs w:val="24"/>
          <w:u w:val="none"/>
        </w:rPr>
        <w:t xml:space="preserve">. </w:t>
      </w:r>
    </w:p>
    <w:p w:rsidR="008849BF" w:rsidRPr="009F1AD3" w:rsidRDefault="008849BF" w:rsidP="008A317D">
      <w:pPr>
        <w:spacing w:line="240" w:lineRule="auto"/>
        <w:ind w:firstLine="709"/>
        <w:jc w:val="both"/>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Pela análise do PIB a mesorregião mais desigual é a do Sertão, a menos desigual é a do São Francisco; a microrregião mais desigual é a de Santo Antão, e a menos desigual a do Capibaribe. Pela análise da Renda média a mesorregião mais desigual é a Metropolitana, e a menos desigual ficou entre São Francisco e Sertão; a microrregião mais desigual é a de Suape, e a menos desigual a de Brejo PE. </w:t>
      </w:r>
    </w:p>
    <w:p w:rsidR="00547BFF" w:rsidRDefault="009F1AD3" w:rsidP="00547BFF">
      <w:pPr>
        <w:spacing w:line="240" w:lineRule="auto"/>
        <w:ind w:firstLine="709"/>
        <w:jc w:val="both"/>
        <w:rPr>
          <w:rStyle w:val="Hyperlink"/>
          <w:rFonts w:ascii="Times New Roman" w:hAnsi="Times New Roman" w:cs="Times New Roman"/>
          <w:color w:val="000000" w:themeColor="text1"/>
          <w:sz w:val="24"/>
          <w:szCs w:val="24"/>
          <w:u w:val="none"/>
        </w:rPr>
      </w:pPr>
      <w:r w:rsidRPr="009F1AD3">
        <w:rPr>
          <w:rStyle w:val="Hyperlink"/>
          <w:rFonts w:ascii="Times New Roman" w:hAnsi="Times New Roman" w:cs="Times New Roman"/>
          <w:color w:val="000000" w:themeColor="text1"/>
          <w:sz w:val="24"/>
          <w:szCs w:val="24"/>
          <w:u w:val="none"/>
        </w:rPr>
        <w:t>De modo geral observa-se que a disparidade do PIB em Pernambuco e nas Mesorregiões depende em maior parte da desigua</w:t>
      </w:r>
      <w:r w:rsidR="004E5733">
        <w:rPr>
          <w:rStyle w:val="Hyperlink"/>
          <w:rFonts w:ascii="Times New Roman" w:hAnsi="Times New Roman" w:cs="Times New Roman"/>
          <w:color w:val="000000" w:themeColor="text1"/>
          <w:sz w:val="24"/>
          <w:szCs w:val="24"/>
          <w:u w:val="none"/>
        </w:rPr>
        <w:t>l</w:t>
      </w:r>
      <w:r w:rsidR="0063193E">
        <w:rPr>
          <w:rStyle w:val="Hyperlink"/>
          <w:rFonts w:ascii="Times New Roman" w:hAnsi="Times New Roman" w:cs="Times New Roman"/>
          <w:color w:val="000000" w:themeColor="text1"/>
          <w:sz w:val="24"/>
          <w:szCs w:val="24"/>
          <w:u w:val="none"/>
        </w:rPr>
        <w:t>dade dentro das microrregiões. Tendo</w:t>
      </w:r>
      <w:r w:rsidR="004E5733">
        <w:rPr>
          <w:rStyle w:val="Hyperlink"/>
          <w:rFonts w:ascii="Times New Roman" w:hAnsi="Times New Roman" w:cs="Times New Roman"/>
          <w:color w:val="000000" w:themeColor="text1"/>
          <w:sz w:val="24"/>
          <w:szCs w:val="24"/>
          <w:u w:val="none"/>
        </w:rPr>
        <w:t xml:space="preserve"> índice de Theil-T é maior quando analisado pela renda média, possivelmente o sendo pelo fato de que a </w:t>
      </w:r>
      <w:r w:rsidR="00601C46">
        <w:rPr>
          <w:rStyle w:val="Hyperlink"/>
          <w:rFonts w:ascii="Times New Roman" w:hAnsi="Times New Roman" w:cs="Times New Roman"/>
          <w:color w:val="000000" w:themeColor="text1"/>
          <w:sz w:val="24"/>
          <w:szCs w:val="24"/>
          <w:u w:val="none"/>
        </w:rPr>
        <w:t>mão de obra</w:t>
      </w:r>
      <w:r w:rsidR="004E5733">
        <w:rPr>
          <w:rStyle w:val="Hyperlink"/>
          <w:rFonts w:ascii="Times New Roman" w:hAnsi="Times New Roman" w:cs="Times New Roman"/>
          <w:color w:val="000000" w:themeColor="text1"/>
          <w:sz w:val="24"/>
          <w:szCs w:val="24"/>
          <w:u w:val="none"/>
        </w:rPr>
        <w:t xml:space="preserve"> pernambucana não seja tão qualificada a ponto de reduzir significativamente o índice como um todo</w:t>
      </w:r>
      <w:r w:rsidR="0063193E">
        <w:rPr>
          <w:rStyle w:val="Hyperlink"/>
          <w:rFonts w:ascii="Times New Roman" w:hAnsi="Times New Roman" w:cs="Times New Roman"/>
          <w:color w:val="000000" w:themeColor="text1"/>
          <w:sz w:val="24"/>
          <w:szCs w:val="24"/>
          <w:u w:val="none"/>
        </w:rPr>
        <w:t>. O problema</w:t>
      </w:r>
      <w:r w:rsidR="004E5733">
        <w:rPr>
          <w:rStyle w:val="Hyperlink"/>
          <w:rFonts w:ascii="Times New Roman" w:hAnsi="Times New Roman" w:cs="Times New Roman"/>
          <w:color w:val="000000" w:themeColor="text1"/>
          <w:sz w:val="24"/>
          <w:szCs w:val="24"/>
          <w:u w:val="none"/>
        </w:rPr>
        <w:t xml:space="preserve"> é má distribuição econômica de Pernambuco</w:t>
      </w:r>
      <w:r w:rsidR="0063193E">
        <w:rPr>
          <w:rStyle w:val="Hyperlink"/>
          <w:rFonts w:ascii="Times New Roman" w:hAnsi="Times New Roman" w:cs="Times New Roman"/>
          <w:color w:val="000000" w:themeColor="text1"/>
          <w:sz w:val="24"/>
          <w:szCs w:val="24"/>
          <w:u w:val="none"/>
        </w:rPr>
        <w:t xml:space="preserve"> que gera um desequilíbrio social</w:t>
      </w:r>
      <w:r w:rsidR="00601C46">
        <w:rPr>
          <w:rStyle w:val="Hyperlink"/>
          <w:rFonts w:ascii="Times New Roman" w:hAnsi="Times New Roman" w:cs="Times New Roman"/>
          <w:color w:val="000000" w:themeColor="text1"/>
          <w:sz w:val="24"/>
          <w:szCs w:val="24"/>
          <w:u w:val="none"/>
        </w:rPr>
        <w:t>,</w:t>
      </w:r>
      <w:r w:rsidR="004E5733">
        <w:rPr>
          <w:rStyle w:val="Hyperlink"/>
          <w:rFonts w:ascii="Times New Roman" w:hAnsi="Times New Roman" w:cs="Times New Roman"/>
          <w:color w:val="000000" w:themeColor="text1"/>
          <w:sz w:val="24"/>
          <w:szCs w:val="24"/>
          <w:u w:val="none"/>
        </w:rPr>
        <w:t xml:space="preserve"> mas, como afirma Pessôa (</w:t>
      </w:r>
      <w:r w:rsidR="003E52C3">
        <w:rPr>
          <w:rStyle w:val="Hyperlink"/>
          <w:rFonts w:ascii="Times New Roman" w:hAnsi="Times New Roman" w:cs="Times New Roman"/>
          <w:color w:val="000000" w:themeColor="text1"/>
          <w:sz w:val="24"/>
          <w:szCs w:val="24"/>
          <w:u w:val="none"/>
        </w:rPr>
        <w:t>1997)</w:t>
      </w:r>
      <w:r w:rsidR="007C285A">
        <w:rPr>
          <w:rStyle w:val="Hyperlink"/>
          <w:rFonts w:ascii="Times New Roman" w:hAnsi="Times New Roman" w:cs="Times New Roman"/>
          <w:color w:val="000000" w:themeColor="text1"/>
          <w:sz w:val="24"/>
          <w:szCs w:val="24"/>
          <w:u w:val="none"/>
        </w:rPr>
        <w:t xml:space="preserve">, a desigualdade de renda se dá por dois </w:t>
      </w:r>
      <w:r w:rsidR="00601C46">
        <w:rPr>
          <w:rStyle w:val="Hyperlink"/>
          <w:rFonts w:ascii="Times New Roman" w:hAnsi="Times New Roman" w:cs="Times New Roman"/>
          <w:color w:val="000000" w:themeColor="text1"/>
          <w:sz w:val="24"/>
          <w:szCs w:val="24"/>
          <w:u w:val="none"/>
        </w:rPr>
        <w:t>motivos, ou quando a região já é</w:t>
      </w:r>
      <w:r w:rsidR="007C285A">
        <w:rPr>
          <w:rStyle w:val="Hyperlink"/>
          <w:rFonts w:ascii="Times New Roman" w:hAnsi="Times New Roman" w:cs="Times New Roman"/>
          <w:color w:val="000000" w:themeColor="text1"/>
          <w:sz w:val="24"/>
          <w:szCs w:val="24"/>
          <w:u w:val="none"/>
        </w:rPr>
        <w:t xml:space="preserve"> propicia a ter características impróprias ou por características da própria população</w:t>
      </w:r>
      <w:r w:rsidR="00601C46">
        <w:rPr>
          <w:rStyle w:val="Hyperlink"/>
          <w:rFonts w:ascii="Times New Roman" w:hAnsi="Times New Roman" w:cs="Times New Roman"/>
          <w:color w:val="000000" w:themeColor="text1"/>
          <w:sz w:val="24"/>
          <w:szCs w:val="24"/>
          <w:u w:val="none"/>
        </w:rPr>
        <w:t>.</w:t>
      </w:r>
    </w:p>
    <w:p w:rsidR="002F02B7" w:rsidRDefault="002F02B7" w:rsidP="00547BFF">
      <w:pPr>
        <w:spacing w:line="240" w:lineRule="auto"/>
        <w:ind w:firstLine="709"/>
        <w:jc w:val="both"/>
        <w:rPr>
          <w:rStyle w:val="Hyperlink"/>
          <w:rFonts w:ascii="Times New Roman" w:hAnsi="Times New Roman" w:cs="Times New Roman"/>
          <w:color w:val="000000" w:themeColor="text1"/>
          <w:sz w:val="24"/>
          <w:szCs w:val="24"/>
          <w:u w:val="none"/>
        </w:rPr>
      </w:pPr>
    </w:p>
    <w:p w:rsidR="009F1AD3" w:rsidRPr="00547BFF" w:rsidRDefault="00753A61" w:rsidP="00547BFF">
      <w:pPr>
        <w:spacing w:line="240" w:lineRule="auto"/>
        <w:jc w:val="both"/>
        <w:rPr>
          <w:rStyle w:val="Hyperlink"/>
          <w:rFonts w:ascii="Times New Roman" w:hAnsi="Times New Roman" w:cs="Times New Roman"/>
          <w:color w:val="000000" w:themeColor="text1"/>
          <w:sz w:val="24"/>
          <w:szCs w:val="24"/>
          <w:u w:val="none"/>
        </w:rPr>
      </w:pPr>
      <w:r w:rsidRPr="004F120B">
        <w:rPr>
          <w:rStyle w:val="Hyperlink"/>
          <w:rFonts w:ascii="Times New Roman" w:hAnsi="Times New Roman" w:cs="Times New Roman"/>
          <w:b/>
          <w:color w:val="000000" w:themeColor="text1"/>
          <w:sz w:val="24"/>
          <w:szCs w:val="24"/>
          <w:u w:val="none"/>
        </w:rPr>
        <w:t>REFERÊNCIAS</w:t>
      </w:r>
      <w:r w:rsidR="009E5300">
        <w:rPr>
          <w:rStyle w:val="Hyperlink"/>
          <w:rFonts w:ascii="Times New Roman" w:hAnsi="Times New Roman" w:cs="Times New Roman"/>
          <w:b/>
          <w:color w:val="000000" w:themeColor="text1"/>
          <w:sz w:val="24"/>
          <w:szCs w:val="24"/>
          <w:u w:val="none"/>
        </w:rPr>
        <w:t xml:space="preserve"> BIBLIOGRÁFICAS</w:t>
      </w:r>
    </w:p>
    <w:p w:rsidR="009F1AD3" w:rsidRDefault="009F1AD3" w:rsidP="00B550B7">
      <w:pPr>
        <w:spacing w:line="240" w:lineRule="auto"/>
        <w:jc w:val="both"/>
        <w:rPr>
          <w:rFonts w:ascii="Times New Roman" w:hAnsi="Times New Roman" w:cs="Times New Roman"/>
          <w:color w:val="222222"/>
          <w:sz w:val="24"/>
          <w:szCs w:val="24"/>
          <w:shd w:val="clear" w:color="auto" w:fill="FFFFFF"/>
        </w:rPr>
      </w:pPr>
      <w:r w:rsidRPr="006A4792">
        <w:rPr>
          <w:rFonts w:ascii="Times New Roman" w:hAnsi="Times New Roman" w:cs="Times New Roman"/>
          <w:color w:val="222222"/>
          <w:sz w:val="24"/>
          <w:szCs w:val="24"/>
          <w:shd w:val="clear" w:color="auto" w:fill="FFFFFF"/>
          <w:lang w:val="en-US"/>
        </w:rPr>
        <w:t xml:space="preserve">AKITA, Takahiro. </w:t>
      </w:r>
      <w:r w:rsidRPr="00AC269D">
        <w:rPr>
          <w:rFonts w:ascii="Times New Roman" w:hAnsi="Times New Roman" w:cs="Times New Roman"/>
          <w:color w:val="222222"/>
          <w:sz w:val="24"/>
          <w:szCs w:val="24"/>
          <w:shd w:val="clear" w:color="auto" w:fill="FFFFFF"/>
          <w:lang w:val="en-US"/>
        </w:rPr>
        <w:t>Decomposing regional income inequality in China and Indonesia using two-stage nested Theil decomposition method</w:t>
      </w:r>
      <w:r w:rsidRPr="006A4792">
        <w:rPr>
          <w:rFonts w:ascii="Times New Roman" w:hAnsi="Times New Roman" w:cs="Times New Roman"/>
          <w:color w:val="222222"/>
          <w:sz w:val="24"/>
          <w:szCs w:val="24"/>
          <w:shd w:val="clear" w:color="auto" w:fill="FFFFFF"/>
          <w:lang w:val="en-US"/>
        </w:rPr>
        <w:t>.</w:t>
      </w:r>
      <w:r w:rsidRPr="006A4792">
        <w:rPr>
          <w:rStyle w:val="apple-converted-space"/>
          <w:rFonts w:ascii="Times New Roman" w:hAnsi="Times New Roman" w:cs="Times New Roman"/>
          <w:color w:val="222222"/>
          <w:sz w:val="24"/>
          <w:szCs w:val="24"/>
          <w:shd w:val="clear" w:color="auto" w:fill="FFFFFF"/>
          <w:lang w:val="en-US"/>
        </w:rPr>
        <w:t> </w:t>
      </w:r>
      <w:r w:rsidRPr="009F1AD3">
        <w:rPr>
          <w:rFonts w:ascii="Times New Roman" w:hAnsi="Times New Roman" w:cs="Times New Roman"/>
          <w:b/>
          <w:bCs/>
          <w:color w:val="222222"/>
          <w:sz w:val="24"/>
          <w:szCs w:val="24"/>
          <w:shd w:val="clear" w:color="auto" w:fill="FFFFFF"/>
        </w:rPr>
        <w:t>The Annalsof Regional Science</w:t>
      </w:r>
      <w:r w:rsidRPr="009F1AD3">
        <w:rPr>
          <w:rFonts w:ascii="Times New Roman" w:hAnsi="Times New Roman" w:cs="Times New Roman"/>
          <w:color w:val="222222"/>
          <w:sz w:val="24"/>
          <w:szCs w:val="24"/>
          <w:shd w:val="clear" w:color="auto" w:fill="FFFFFF"/>
        </w:rPr>
        <w:t>, v. 37, n. 1, p. 55-77, 200</w:t>
      </w:r>
      <w:r w:rsidR="007A0ED2">
        <w:rPr>
          <w:rFonts w:ascii="Times New Roman" w:hAnsi="Times New Roman" w:cs="Times New Roman"/>
          <w:color w:val="222222"/>
          <w:sz w:val="24"/>
          <w:szCs w:val="24"/>
          <w:shd w:val="clear" w:color="auto" w:fill="FFFFFF"/>
        </w:rPr>
        <w:t>0</w:t>
      </w:r>
      <w:r w:rsidRPr="009F1AD3">
        <w:rPr>
          <w:rFonts w:ascii="Times New Roman" w:hAnsi="Times New Roman" w:cs="Times New Roman"/>
          <w:color w:val="222222"/>
          <w:sz w:val="24"/>
          <w:szCs w:val="24"/>
          <w:shd w:val="clear" w:color="auto" w:fill="FFFFFF"/>
        </w:rPr>
        <w:t>.</w:t>
      </w:r>
    </w:p>
    <w:p w:rsidR="008609B6" w:rsidRPr="008609B6" w:rsidRDefault="008609B6" w:rsidP="00B550B7">
      <w:pPr>
        <w:spacing w:line="240" w:lineRule="auto"/>
        <w:jc w:val="both"/>
        <w:rPr>
          <w:rFonts w:ascii="Times New Roman" w:hAnsi="Times New Roman" w:cs="Times New Roman"/>
          <w:color w:val="222222"/>
          <w:sz w:val="24"/>
          <w:szCs w:val="24"/>
          <w:shd w:val="clear" w:color="auto" w:fill="FFFFFF"/>
        </w:rPr>
      </w:pPr>
      <w:r w:rsidRPr="008609B6">
        <w:rPr>
          <w:rFonts w:ascii="Times New Roman" w:hAnsi="Times New Roman" w:cs="Times New Roman"/>
          <w:color w:val="000000"/>
          <w:sz w:val="24"/>
          <w:szCs w:val="24"/>
        </w:rPr>
        <w:t>ARAUJO, J.</w:t>
      </w:r>
      <w:r w:rsidR="009D5B87">
        <w:rPr>
          <w:rFonts w:ascii="Times New Roman" w:hAnsi="Times New Roman" w:cs="Times New Roman"/>
          <w:color w:val="000000"/>
          <w:sz w:val="24"/>
          <w:szCs w:val="24"/>
        </w:rPr>
        <w:t xml:space="preserve"> </w:t>
      </w:r>
      <w:r w:rsidRPr="008609B6">
        <w:rPr>
          <w:rFonts w:ascii="Times New Roman" w:hAnsi="Times New Roman" w:cs="Times New Roman"/>
          <w:color w:val="000000"/>
          <w:sz w:val="24"/>
          <w:szCs w:val="24"/>
        </w:rPr>
        <w:t>R.; SALVATO, M.</w:t>
      </w:r>
      <w:r w:rsidR="009D5B87">
        <w:rPr>
          <w:rFonts w:ascii="Times New Roman" w:hAnsi="Times New Roman" w:cs="Times New Roman"/>
          <w:color w:val="000000"/>
          <w:sz w:val="24"/>
          <w:szCs w:val="24"/>
        </w:rPr>
        <w:t xml:space="preserve"> </w:t>
      </w:r>
      <w:r w:rsidRPr="008609B6">
        <w:rPr>
          <w:rFonts w:ascii="Times New Roman" w:hAnsi="Times New Roman" w:cs="Times New Roman"/>
          <w:color w:val="000000"/>
          <w:sz w:val="24"/>
          <w:szCs w:val="24"/>
        </w:rPr>
        <w:t>A.; SOUZA, P.</w:t>
      </w:r>
      <w:r w:rsidR="009D5B87">
        <w:rPr>
          <w:rFonts w:ascii="Times New Roman" w:hAnsi="Times New Roman" w:cs="Times New Roman"/>
          <w:color w:val="000000"/>
          <w:sz w:val="24"/>
          <w:szCs w:val="24"/>
        </w:rPr>
        <w:t xml:space="preserve"> </w:t>
      </w:r>
      <w:r w:rsidRPr="008609B6">
        <w:rPr>
          <w:rFonts w:ascii="Times New Roman" w:hAnsi="Times New Roman" w:cs="Times New Roman"/>
          <w:color w:val="000000"/>
          <w:sz w:val="24"/>
          <w:szCs w:val="24"/>
        </w:rPr>
        <w:t>F.</w:t>
      </w:r>
      <w:r w:rsidR="009D5B87">
        <w:rPr>
          <w:rFonts w:ascii="Times New Roman" w:hAnsi="Times New Roman" w:cs="Times New Roman"/>
          <w:color w:val="000000"/>
          <w:sz w:val="24"/>
          <w:szCs w:val="24"/>
        </w:rPr>
        <w:t xml:space="preserve"> </w:t>
      </w:r>
      <w:r w:rsidRPr="008609B6">
        <w:rPr>
          <w:rFonts w:ascii="Times New Roman" w:hAnsi="Times New Roman" w:cs="Times New Roman"/>
          <w:color w:val="000000"/>
          <w:sz w:val="24"/>
          <w:szCs w:val="24"/>
        </w:rPr>
        <w:t xml:space="preserve">L.; Decomposição do Índice de Theil-T em Disparidades Regionais, entre Gêneros, Raciais e Educacionais: uma Analise da Desigualdade de Renda na Região Sul. In: </w:t>
      </w:r>
      <w:r w:rsidRPr="008609B6">
        <w:rPr>
          <w:rFonts w:ascii="Times New Roman" w:hAnsi="Times New Roman" w:cs="Times New Roman"/>
          <w:b/>
          <w:bCs/>
          <w:color w:val="000000"/>
          <w:sz w:val="24"/>
          <w:szCs w:val="24"/>
        </w:rPr>
        <w:t xml:space="preserve">Anais... </w:t>
      </w:r>
      <w:r w:rsidRPr="008609B6">
        <w:rPr>
          <w:rFonts w:ascii="Times New Roman" w:hAnsi="Times New Roman" w:cs="Times New Roman"/>
          <w:color w:val="000000"/>
          <w:sz w:val="24"/>
          <w:szCs w:val="24"/>
        </w:rPr>
        <w:t>do XI Encontro de Economia da Região Sul, 2008.</w:t>
      </w:r>
    </w:p>
    <w:p w:rsidR="009F1AD3" w:rsidRDefault="009F1AD3" w:rsidP="00B550B7">
      <w:pPr>
        <w:spacing w:line="240" w:lineRule="auto"/>
        <w:jc w:val="both"/>
        <w:rPr>
          <w:rFonts w:ascii="Times New Roman" w:hAnsi="Times New Roman" w:cs="Times New Roman"/>
          <w:color w:val="000000"/>
          <w:sz w:val="24"/>
          <w:szCs w:val="24"/>
        </w:rPr>
      </w:pPr>
      <w:r w:rsidRPr="009F1AD3">
        <w:rPr>
          <w:rFonts w:ascii="Times New Roman" w:hAnsi="Times New Roman" w:cs="Times New Roman"/>
          <w:color w:val="222222"/>
          <w:sz w:val="24"/>
          <w:szCs w:val="24"/>
          <w:shd w:val="clear" w:color="auto" w:fill="FFFFFF"/>
        </w:rPr>
        <w:t>BARROS, R</w:t>
      </w:r>
      <w:r w:rsidR="00F07070">
        <w:rPr>
          <w:rFonts w:ascii="Times New Roman" w:hAnsi="Times New Roman" w:cs="Times New Roman"/>
          <w:color w:val="222222"/>
          <w:sz w:val="24"/>
          <w:szCs w:val="24"/>
          <w:shd w:val="clear" w:color="auto" w:fill="FFFFFF"/>
        </w:rPr>
        <w:t xml:space="preserve">. </w:t>
      </w:r>
      <w:r w:rsidRPr="009F1AD3">
        <w:rPr>
          <w:rFonts w:ascii="Times New Roman" w:hAnsi="Times New Roman" w:cs="Times New Roman"/>
          <w:color w:val="222222"/>
          <w:sz w:val="24"/>
          <w:szCs w:val="24"/>
          <w:shd w:val="clear" w:color="auto" w:fill="FFFFFF"/>
        </w:rPr>
        <w:t>P</w:t>
      </w:r>
      <w:r w:rsidR="00F07070">
        <w:rPr>
          <w:rFonts w:ascii="Times New Roman" w:hAnsi="Times New Roman" w:cs="Times New Roman"/>
          <w:color w:val="222222"/>
          <w:sz w:val="24"/>
          <w:szCs w:val="24"/>
          <w:shd w:val="clear" w:color="auto" w:fill="FFFFFF"/>
        </w:rPr>
        <w:t>.; CARVALHO, M.; FRANCO, S.; MENDONÇA, R.</w:t>
      </w:r>
      <w:r w:rsidRPr="009F1AD3">
        <w:rPr>
          <w:rFonts w:ascii="Times New Roman" w:hAnsi="Times New Roman" w:cs="Times New Roman"/>
          <w:color w:val="222222"/>
          <w:sz w:val="24"/>
          <w:szCs w:val="24"/>
          <w:shd w:val="clear" w:color="auto" w:fill="FFFFFF"/>
        </w:rPr>
        <w:t xml:space="preserve"> </w:t>
      </w:r>
      <w:r w:rsidRPr="00F07070">
        <w:rPr>
          <w:rFonts w:ascii="Times New Roman" w:hAnsi="Times New Roman" w:cs="Times New Roman"/>
          <w:b/>
          <w:color w:val="222222"/>
          <w:sz w:val="24"/>
          <w:szCs w:val="24"/>
          <w:shd w:val="clear" w:color="auto" w:fill="FFFFFF"/>
        </w:rPr>
        <w:t>Conseq</w:t>
      </w:r>
      <w:r w:rsidR="00F07070" w:rsidRPr="00F07070">
        <w:rPr>
          <w:rFonts w:ascii="Times New Roman" w:hAnsi="Times New Roman" w:cs="Times New Roman"/>
          <w:b/>
          <w:color w:val="222222"/>
          <w:sz w:val="24"/>
          <w:szCs w:val="24"/>
          <w:shd w:val="clear" w:color="auto" w:fill="FFFFFF"/>
        </w:rPr>
        <w:t>u</w:t>
      </w:r>
      <w:r w:rsidRPr="00F07070">
        <w:rPr>
          <w:rFonts w:ascii="Times New Roman" w:hAnsi="Times New Roman" w:cs="Times New Roman"/>
          <w:b/>
          <w:color w:val="222222"/>
          <w:sz w:val="24"/>
          <w:szCs w:val="24"/>
          <w:shd w:val="clear" w:color="auto" w:fill="FFFFFF"/>
        </w:rPr>
        <w:t>ências e causas imediatas da queda recente da desigua</w:t>
      </w:r>
      <w:r w:rsidR="00F07070" w:rsidRPr="00F07070">
        <w:rPr>
          <w:rFonts w:ascii="Times New Roman" w:hAnsi="Times New Roman" w:cs="Times New Roman"/>
          <w:b/>
          <w:color w:val="222222"/>
          <w:sz w:val="24"/>
          <w:szCs w:val="24"/>
          <w:shd w:val="clear" w:color="auto" w:fill="FFFFFF"/>
        </w:rPr>
        <w:t>ldade de renda brasileira</w:t>
      </w:r>
      <w:r w:rsidR="00F07070">
        <w:rPr>
          <w:rFonts w:ascii="Times New Roman" w:hAnsi="Times New Roman" w:cs="Times New Roman"/>
          <w:color w:val="222222"/>
          <w:sz w:val="24"/>
          <w:szCs w:val="24"/>
          <w:shd w:val="clear" w:color="auto" w:fill="FFFFFF"/>
        </w:rPr>
        <w:t>. Rio de Janeiro</w:t>
      </w:r>
      <w:r w:rsidR="00F07070" w:rsidRPr="009F1127">
        <w:rPr>
          <w:rFonts w:ascii="Times New Roman" w:hAnsi="Times New Roman" w:cs="Times New Roman"/>
          <w:color w:val="000000"/>
          <w:sz w:val="24"/>
          <w:szCs w:val="24"/>
        </w:rPr>
        <w:t xml:space="preserve">: Instituto de Pesquisa Econômica Aplicada - IPEA, </w:t>
      </w:r>
      <w:r w:rsidR="00F07070">
        <w:rPr>
          <w:rFonts w:ascii="Times New Roman" w:hAnsi="Times New Roman" w:cs="Times New Roman"/>
          <w:color w:val="000000"/>
          <w:sz w:val="24"/>
          <w:szCs w:val="24"/>
        </w:rPr>
        <w:t>julho</w:t>
      </w:r>
      <w:r w:rsidR="00F07070" w:rsidRPr="009F1127">
        <w:rPr>
          <w:rFonts w:ascii="Times New Roman" w:hAnsi="Times New Roman" w:cs="Times New Roman"/>
          <w:color w:val="000000"/>
          <w:sz w:val="24"/>
          <w:szCs w:val="24"/>
        </w:rPr>
        <w:t xml:space="preserve">. </w:t>
      </w:r>
      <w:r w:rsidR="00F07070">
        <w:rPr>
          <w:rFonts w:ascii="Times New Roman" w:hAnsi="Times New Roman" w:cs="Times New Roman"/>
          <w:color w:val="000000"/>
          <w:sz w:val="24"/>
          <w:szCs w:val="24"/>
        </w:rPr>
        <w:t>2006. (Texto para discussão; n. 1201</w:t>
      </w:r>
      <w:r w:rsidR="00F07070" w:rsidRPr="009F1127">
        <w:rPr>
          <w:rFonts w:ascii="Times New Roman" w:hAnsi="Times New Roman" w:cs="Times New Roman"/>
          <w:color w:val="000000"/>
          <w:sz w:val="24"/>
          <w:szCs w:val="24"/>
        </w:rPr>
        <w:t>).</w:t>
      </w:r>
    </w:p>
    <w:p w:rsidR="00B550B7" w:rsidRDefault="00B550B7" w:rsidP="00B550B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BRITO, D. J. M; ROCHA, R. M. Concentração de renda e escolaridade: qual é a relação com a pobreza no Nordeste do país? </w:t>
      </w:r>
      <w:r>
        <w:rPr>
          <w:rFonts w:ascii="Times New Roman" w:hAnsi="Times New Roman" w:cs="Times New Roman"/>
          <w:b/>
          <w:color w:val="000000"/>
          <w:sz w:val="24"/>
          <w:szCs w:val="24"/>
        </w:rPr>
        <w:t>Bahia Análise e Dados</w:t>
      </w:r>
      <w:r w:rsidRPr="00B550B7">
        <w:rPr>
          <w:rFonts w:ascii="Times New Roman" w:hAnsi="Times New Roman" w:cs="Times New Roman"/>
          <w:color w:val="000000"/>
          <w:sz w:val="24"/>
          <w:szCs w:val="24"/>
        </w:rPr>
        <w:t xml:space="preserve">, </w:t>
      </w:r>
      <w:r w:rsidRPr="00B550B7">
        <w:rPr>
          <w:rFonts w:ascii="Times New Roman" w:hAnsi="Times New Roman" w:cs="Times New Roman"/>
          <w:color w:val="231F20"/>
          <w:sz w:val="24"/>
          <w:szCs w:val="24"/>
        </w:rPr>
        <w:t>v. 21, n. 3, p.583-594, jul./set. 2011.</w:t>
      </w:r>
      <w:r>
        <w:rPr>
          <w:rFonts w:ascii="Times New Roman" w:hAnsi="Times New Roman" w:cs="Times New Roman"/>
          <w:color w:val="000000"/>
          <w:sz w:val="24"/>
          <w:szCs w:val="24"/>
        </w:rPr>
        <w:t xml:space="preserve"> </w:t>
      </w:r>
    </w:p>
    <w:p w:rsidR="00B550B7" w:rsidRPr="009F1AD3" w:rsidRDefault="00B550B7" w:rsidP="00B550B7">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 xml:space="preserve">BRITO, D. J. M; ROCHA, R. M. </w:t>
      </w:r>
      <w:r w:rsidR="00F83C83">
        <w:rPr>
          <w:rFonts w:ascii="Times New Roman" w:hAnsi="Times New Roman" w:cs="Times New Roman"/>
          <w:color w:val="000000"/>
          <w:sz w:val="24"/>
          <w:szCs w:val="24"/>
        </w:rPr>
        <w:t xml:space="preserve">Pobreza, desigualdade e crescimento: Uma análise para o Agreste Pernambucano. </w:t>
      </w:r>
      <w:r w:rsidR="00F83C83">
        <w:rPr>
          <w:rFonts w:ascii="Times New Roman" w:hAnsi="Times New Roman" w:cs="Times New Roman"/>
          <w:b/>
          <w:color w:val="000000"/>
          <w:sz w:val="24"/>
          <w:szCs w:val="24"/>
        </w:rPr>
        <w:t>Revista Desenbahia</w:t>
      </w:r>
      <w:r w:rsidR="00F83C83">
        <w:rPr>
          <w:rFonts w:ascii="Times New Roman" w:hAnsi="Times New Roman" w:cs="Times New Roman"/>
          <w:color w:val="000000"/>
          <w:sz w:val="24"/>
          <w:szCs w:val="24"/>
        </w:rPr>
        <w:t>, n. 16, p, 113-136, março, 2012.</w:t>
      </w:r>
      <w:r>
        <w:rPr>
          <w:rFonts w:ascii="Times New Roman" w:hAnsi="Times New Roman" w:cs="Times New Roman"/>
          <w:color w:val="000000"/>
          <w:sz w:val="24"/>
          <w:szCs w:val="24"/>
        </w:rPr>
        <w:t xml:space="preserve"> </w:t>
      </w:r>
    </w:p>
    <w:p w:rsidR="00F24A18" w:rsidRPr="00F24A18" w:rsidRDefault="00F24A18" w:rsidP="00B550B7">
      <w:pPr>
        <w:spacing w:line="240" w:lineRule="auto"/>
        <w:jc w:val="both"/>
        <w:rPr>
          <w:rFonts w:ascii="Times New Roman" w:hAnsi="Times New Roman" w:cs="Times New Roman"/>
          <w:color w:val="000000"/>
          <w:sz w:val="24"/>
          <w:szCs w:val="24"/>
        </w:rPr>
      </w:pPr>
      <w:r w:rsidRPr="00F24A18">
        <w:rPr>
          <w:rFonts w:ascii="Times New Roman" w:hAnsi="Times New Roman" w:cs="Times New Roman"/>
          <w:color w:val="000000"/>
          <w:sz w:val="24"/>
          <w:szCs w:val="24"/>
        </w:rPr>
        <w:t xml:space="preserve">CALDAS, R. M.; MENEZES, T. A. “Decomposição do Índice Theil-T: uma Análise da Desigualdade de Renda para os Estados Nordestinos”. </w:t>
      </w:r>
      <w:r w:rsidRPr="00F24A18">
        <w:rPr>
          <w:rFonts w:ascii="Times New Roman" w:hAnsi="Times New Roman" w:cs="Times New Roman"/>
          <w:b/>
          <w:bCs/>
          <w:color w:val="000000"/>
          <w:sz w:val="24"/>
          <w:szCs w:val="24"/>
        </w:rPr>
        <w:t>Documentos Técnico</w:t>
      </w:r>
      <w:r>
        <w:rPr>
          <w:rFonts w:ascii="Times New Roman" w:hAnsi="Times New Roman" w:cs="Times New Roman"/>
          <w:b/>
          <w:bCs/>
          <w:color w:val="000000"/>
          <w:sz w:val="24"/>
          <w:szCs w:val="24"/>
        </w:rPr>
        <w:t xml:space="preserve">s </w:t>
      </w:r>
      <w:r w:rsidRPr="00F24A18">
        <w:rPr>
          <w:rFonts w:ascii="Times New Roman" w:hAnsi="Times New Roman" w:cs="Times New Roman"/>
          <w:b/>
          <w:bCs/>
          <w:color w:val="000000"/>
          <w:sz w:val="24"/>
          <w:szCs w:val="24"/>
        </w:rPr>
        <w:t xml:space="preserve">Científicos. </w:t>
      </w:r>
      <w:r w:rsidRPr="00F24A18">
        <w:rPr>
          <w:rFonts w:ascii="Times New Roman" w:hAnsi="Times New Roman" w:cs="Times New Roman"/>
          <w:color w:val="000000"/>
          <w:sz w:val="24"/>
          <w:szCs w:val="24"/>
        </w:rPr>
        <w:t xml:space="preserve">Volume 41. Nº 03. Julho-Setembro. 2010. Disponível em: </w:t>
      </w:r>
      <w:hyperlink r:id="rId18" w:history="1">
        <w:r w:rsidRPr="000E11B9">
          <w:rPr>
            <w:rStyle w:val="Hyperlink"/>
            <w:rFonts w:ascii="Times New Roman" w:hAnsi="Times New Roman" w:cs="Times New Roman"/>
            <w:sz w:val="24"/>
            <w:szCs w:val="24"/>
          </w:rPr>
          <w:t>http://www.bnb.gov.br/projwebren/exec/artigoRenPDF.aspx?cd_artigo_ren=1197</w:t>
        </w:r>
      </w:hyperlink>
      <w:r>
        <w:rPr>
          <w:rFonts w:ascii="Times New Roman" w:hAnsi="Times New Roman" w:cs="Times New Roman"/>
          <w:color w:val="000000"/>
          <w:sz w:val="24"/>
          <w:szCs w:val="24"/>
        </w:rPr>
        <w:t xml:space="preserve"> </w:t>
      </w:r>
    </w:p>
    <w:p w:rsidR="00942474" w:rsidRPr="00942474" w:rsidRDefault="00942474" w:rsidP="00B550B7">
      <w:pPr>
        <w:spacing w:line="240" w:lineRule="auto"/>
        <w:jc w:val="both"/>
        <w:rPr>
          <w:rFonts w:ascii="Times New Roman" w:hAnsi="Times New Roman" w:cs="Times New Roman"/>
          <w:color w:val="222222"/>
          <w:sz w:val="24"/>
          <w:szCs w:val="24"/>
          <w:shd w:val="clear" w:color="auto" w:fill="FFFFFF"/>
        </w:rPr>
      </w:pPr>
      <w:r w:rsidRPr="00942474">
        <w:rPr>
          <w:rFonts w:ascii="Times New Roman" w:hAnsi="Times New Roman" w:cs="Times New Roman"/>
          <w:color w:val="000000"/>
          <w:sz w:val="24"/>
          <w:szCs w:val="24"/>
        </w:rPr>
        <w:t>FERREIRA, F</w:t>
      </w:r>
      <w:r>
        <w:rPr>
          <w:rFonts w:ascii="Times New Roman" w:hAnsi="Times New Roman" w:cs="Times New Roman"/>
          <w:color w:val="000000"/>
          <w:sz w:val="24"/>
          <w:szCs w:val="24"/>
        </w:rPr>
        <w:t>.</w:t>
      </w:r>
      <w:r w:rsidRPr="00942474">
        <w:rPr>
          <w:rFonts w:ascii="Times New Roman" w:hAnsi="Times New Roman" w:cs="Times New Roman"/>
          <w:color w:val="000000"/>
          <w:sz w:val="24"/>
          <w:szCs w:val="24"/>
        </w:rPr>
        <w:t xml:space="preserve"> H. G.; LITCHFIELD, J</w:t>
      </w:r>
      <w:r>
        <w:rPr>
          <w:rFonts w:ascii="Times New Roman" w:hAnsi="Times New Roman" w:cs="Times New Roman"/>
          <w:color w:val="000000"/>
          <w:sz w:val="24"/>
          <w:szCs w:val="24"/>
        </w:rPr>
        <w:t>.</w:t>
      </w:r>
      <w:r w:rsidRPr="00942474">
        <w:rPr>
          <w:rFonts w:ascii="Times New Roman" w:hAnsi="Times New Roman" w:cs="Times New Roman"/>
          <w:color w:val="000000"/>
          <w:sz w:val="24"/>
          <w:szCs w:val="24"/>
        </w:rPr>
        <w:t xml:space="preserve"> A. </w:t>
      </w:r>
      <w:r w:rsidRPr="00966C8F">
        <w:rPr>
          <w:rFonts w:ascii="Times New Roman" w:hAnsi="Times New Roman" w:cs="Times New Roman"/>
          <w:color w:val="000000"/>
          <w:sz w:val="24"/>
          <w:szCs w:val="24"/>
        </w:rPr>
        <w:t>Desigualdade pobreza e bem-estar no Brasil – 1981/95</w:t>
      </w:r>
      <w:r w:rsidRPr="00942474">
        <w:rPr>
          <w:rFonts w:ascii="Times New Roman" w:hAnsi="Times New Roman" w:cs="Times New Roman"/>
          <w:color w:val="000000"/>
          <w:sz w:val="24"/>
          <w:szCs w:val="24"/>
        </w:rPr>
        <w:t>. In: HENRIQUES, R</w:t>
      </w:r>
      <w:r w:rsidR="00966C8F">
        <w:rPr>
          <w:rFonts w:ascii="Times New Roman" w:hAnsi="Times New Roman" w:cs="Times New Roman"/>
          <w:color w:val="000000"/>
          <w:sz w:val="24"/>
          <w:szCs w:val="24"/>
        </w:rPr>
        <w:t>icardo</w:t>
      </w:r>
      <w:r>
        <w:rPr>
          <w:rFonts w:ascii="Times New Roman" w:hAnsi="Times New Roman" w:cs="Times New Roman"/>
          <w:color w:val="000000"/>
          <w:sz w:val="24"/>
          <w:szCs w:val="24"/>
        </w:rPr>
        <w:t>.</w:t>
      </w:r>
      <w:r w:rsidRPr="00942474">
        <w:rPr>
          <w:rFonts w:ascii="Times New Roman" w:hAnsi="Times New Roman" w:cs="Times New Roman"/>
          <w:color w:val="000000"/>
          <w:sz w:val="24"/>
          <w:szCs w:val="24"/>
        </w:rPr>
        <w:t xml:space="preserve"> (ORG), </w:t>
      </w:r>
      <w:r w:rsidRPr="00966C8F">
        <w:rPr>
          <w:rFonts w:ascii="Times New Roman" w:hAnsi="Times New Roman" w:cs="Times New Roman"/>
          <w:b/>
          <w:color w:val="000000"/>
          <w:sz w:val="24"/>
          <w:szCs w:val="24"/>
        </w:rPr>
        <w:t>Desigualdade e pobreza no Brasil</w:t>
      </w:r>
      <w:r>
        <w:rPr>
          <w:rFonts w:ascii="Times New Roman" w:hAnsi="Times New Roman" w:cs="Times New Roman"/>
          <w:color w:val="000000"/>
          <w:sz w:val="24"/>
          <w:szCs w:val="24"/>
        </w:rPr>
        <w:t xml:space="preserve">. Rio de Janeiro: IPEA, </w:t>
      </w:r>
      <w:r w:rsidRPr="00942474">
        <w:rPr>
          <w:rFonts w:ascii="Times New Roman" w:hAnsi="Times New Roman" w:cs="Times New Roman"/>
          <w:color w:val="000000"/>
          <w:sz w:val="24"/>
          <w:szCs w:val="24"/>
        </w:rPr>
        <w:t>2000. Cap.2 p.49-80.</w:t>
      </w:r>
    </w:p>
    <w:p w:rsidR="000C31CF" w:rsidRPr="007D56F1" w:rsidRDefault="000C31CF" w:rsidP="00B550B7">
      <w:pPr>
        <w:spacing w:line="240" w:lineRule="auto"/>
        <w:jc w:val="both"/>
        <w:rPr>
          <w:rFonts w:ascii="Times New Roman" w:hAnsi="Times New Roman" w:cs="Times New Roman"/>
          <w:color w:val="222222"/>
          <w:sz w:val="24"/>
          <w:szCs w:val="24"/>
          <w:shd w:val="clear" w:color="auto" w:fill="FFFFFF"/>
        </w:rPr>
      </w:pPr>
      <w:r w:rsidRPr="007D56F1">
        <w:rPr>
          <w:rFonts w:ascii="Times New Roman" w:hAnsi="Times New Roman" w:cs="Times New Roman"/>
          <w:color w:val="000000"/>
          <w:sz w:val="24"/>
          <w:szCs w:val="24"/>
        </w:rPr>
        <w:t>FERREIRA, F</w:t>
      </w:r>
      <w:r w:rsidR="007D56F1">
        <w:rPr>
          <w:rFonts w:ascii="Times New Roman" w:hAnsi="Times New Roman" w:cs="Times New Roman"/>
          <w:color w:val="000000"/>
          <w:sz w:val="24"/>
          <w:szCs w:val="24"/>
        </w:rPr>
        <w:t>.</w:t>
      </w:r>
      <w:r w:rsidRPr="007D56F1">
        <w:rPr>
          <w:rFonts w:ascii="Times New Roman" w:hAnsi="Times New Roman" w:cs="Times New Roman"/>
          <w:color w:val="000000"/>
          <w:sz w:val="24"/>
          <w:szCs w:val="24"/>
        </w:rPr>
        <w:t xml:space="preserve"> H</w:t>
      </w:r>
      <w:r w:rsidR="007D56F1">
        <w:rPr>
          <w:rFonts w:ascii="Times New Roman" w:hAnsi="Times New Roman" w:cs="Times New Roman"/>
          <w:color w:val="000000"/>
          <w:sz w:val="24"/>
          <w:szCs w:val="24"/>
        </w:rPr>
        <w:t>.</w:t>
      </w:r>
      <w:r w:rsidRPr="007D56F1">
        <w:rPr>
          <w:rFonts w:ascii="Times New Roman" w:hAnsi="Times New Roman" w:cs="Times New Roman"/>
          <w:color w:val="000000"/>
          <w:sz w:val="24"/>
          <w:szCs w:val="24"/>
        </w:rPr>
        <w:t xml:space="preserve"> G</w:t>
      </w:r>
      <w:r w:rsidR="007D56F1">
        <w:rPr>
          <w:rFonts w:ascii="Times New Roman" w:hAnsi="Times New Roman" w:cs="Times New Roman"/>
          <w:color w:val="000000"/>
          <w:sz w:val="24"/>
          <w:szCs w:val="24"/>
        </w:rPr>
        <w:t>.</w:t>
      </w:r>
      <w:r w:rsidRPr="007D56F1">
        <w:rPr>
          <w:rFonts w:ascii="Times New Roman" w:hAnsi="Times New Roman" w:cs="Times New Roman"/>
          <w:color w:val="000000"/>
          <w:sz w:val="24"/>
          <w:szCs w:val="24"/>
        </w:rPr>
        <w:t>; Leite, P</w:t>
      </w:r>
      <w:r w:rsidR="007D56F1">
        <w:rPr>
          <w:rFonts w:ascii="Times New Roman" w:hAnsi="Times New Roman" w:cs="Times New Roman"/>
          <w:color w:val="000000"/>
          <w:sz w:val="24"/>
          <w:szCs w:val="24"/>
        </w:rPr>
        <w:t>.</w:t>
      </w:r>
      <w:r w:rsidRPr="007D56F1">
        <w:rPr>
          <w:rFonts w:ascii="Times New Roman" w:hAnsi="Times New Roman" w:cs="Times New Roman"/>
          <w:color w:val="000000"/>
          <w:sz w:val="24"/>
          <w:szCs w:val="24"/>
        </w:rPr>
        <w:t xml:space="preserve"> G</w:t>
      </w:r>
      <w:r w:rsidR="007D56F1">
        <w:rPr>
          <w:rFonts w:ascii="Times New Roman" w:hAnsi="Times New Roman" w:cs="Times New Roman"/>
          <w:color w:val="000000"/>
          <w:sz w:val="24"/>
          <w:szCs w:val="24"/>
        </w:rPr>
        <w:t>.</w:t>
      </w:r>
      <w:r w:rsidRPr="007D56F1">
        <w:rPr>
          <w:rFonts w:ascii="Times New Roman" w:hAnsi="Times New Roman" w:cs="Times New Roman"/>
          <w:color w:val="000000"/>
          <w:sz w:val="24"/>
          <w:szCs w:val="24"/>
        </w:rPr>
        <w:t>; Litchfi</w:t>
      </w:r>
      <w:r w:rsidR="007D56F1">
        <w:rPr>
          <w:rFonts w:ascii="Times New Roman" w:hAnsi="Times New Roman" w:cs="Times New Roman"/>
          <w:color w:val="000000"/>
          <w:sz w:val="24"/>
          <w:szCs w:val="24"/>
        </w:rPr>
        <w:t xml:space="preserve">eld, J. A; Ulyssea, G. Ascensão e queda da </w:t>
      </w:r>
      <w:r w:rsidRPr="007D56F1">
        <w:rPr>
          <w:rFonts w:ascii="Times New Roman" w:hAnsi="Times New Roman" w:cs="Times New Roman"/>
          <w:color w:val="000000"/>
          <w:sz w:val="24"/>
          <w:szCs w:val="24"/>
        </w:rPr>
        <w:t>desi</w:t>
      </w:r>
      <w:r w:rsidR="007D56F1" w:rsidRPr="007D56F1">
        <w:rPr>
          <w:rFonts w:ascii="Times New Roman" w:hAnsi="Times New Roman" w:cs="Times New Roman"/>
          <w:color w:val="000000"/>
          <w:sz w:val="24"/>
          <w:szCs w:val="24"/>
        </w:rPr>
        <w:t>g</w:t>
      </w:r>
      <w:r w:rsidRPr="007D56F1">
        <w:rPr>
          <w:rFonts w:ascii="Times New Roman" w:hAnsi="Times New Roman" w:cs="Times New Roman"/>
          <w:color w:val="000000"/>
          <w:sz w:val="24"/>
          <w:szCs w:val="24"/>
        </w:rPr>
        <w:t xml:space="preserve">ualdade de renda no Brasil. </w:t>
      </w:r>
      <w:r w:rsidRPr="007D56F1">
        <w:rPr>
          <w:rFonts w:ascii="Times New Roman" w:hAnsi="Times New Roman" w:cs="Times New Roman"/>
          <w:b/>
          <w:bCs/>
          <w:color w:val="000000"/>
          <w:sz w:val="24"/>
          <w:szCs w:val="24"/>
        </w:rPr>
        <w:t>Econômica</w:t>
      </w:r>
      <w:r w:rsidRPr="007D56F1">
        <w:rPr>
          <w:rFonts w:ascii="Times New Roman" w:hAnsi="Times New Roman" w:cs="Times New Roman"/>
          <w:color w:val="000000"/>
          <w:sz w:val="24"/>
          <w:szCs w:val="24"/>
        </w:rPr>
        <w:t>, Rio de Janeiro, v.8, n.1, p.147-169, junho 2006</w:t>
      </w:r>
      <w:r w:rsidR="007D56F1">
        <w:rPr>
          <w:rFonts w:ascii="Times New Roman" w:hAnsi="Times New Roman" w:cs="Times New Roman"/>
          <w:color w:val="000000"/>
          <w:sz w:val="24"/>
          <w:szCs w:val="24"/>
        </w:rPr>
        <w:t>.</w:t>
      </w:r>
    </w:p>
    <w:p w:rsidR="00CC369A" w:rsidRDefault="00350AED" w:rsidP="00B550B7">
      <w:pPr>
        <w:spacing w:line="240" w:lineRule="auto"/>
        <w:jc w:val="both"/>
        <w:rPr>
          <w:rFonts w:ascii="Times New Roman" w:hAnsi="Times New Roman" w:cs="Times New Roman"/>
          <w:color w:val="222222"/>
          <w:sz w:val="24"/>
          <w:szCs w:val="24"/>
          <w:shd w:val="clear" w:color="auto" w:fill="FFFFFF"/>
        </w:rPr>
      </w:pPr>
      <w:r w:rsidRPr="00310DE5">
        <w:rPr>
          <w:rFonts w:ascii="Times New Roman" w:hAnsi="Times New Roman" w:cs="Times New Roman"/>
          <w:color w:val="222222"/>
          <w:sz w:val="24"/>
          <w:szCs w:val="24"/>
          <w:shd w:val="clear" w:color="auto" w:fill="FFFFFF"/>
        </w:rPr>
        <w:t>FURTADO, C</w:t>
      </w:r>
      <w:r w:rsidR="00CC369A" w:rsidRPr="00310DE5">
        <w:rPr>
          <w:rFonts w:ascii="Times New Roman" w:hAnsi="Times New Roman" w:cs="Times New Roman"/>
          <w:color w:val="222222"/>
          <w:sz w:val="24"/>
          <w:szCs w:val="24"/>
          <w:shd w:val="clear" w:color="auto" w:fill="FFFFFF"/>
        </w:rPr>
        <w:t>.</w:t>
      </w:r>
      <w:r w:rsidRPr="00310DE5">
        <w:rPr>
          <w:rFonts w:ascii="Times New Roman" w:hAnsi="Times New Roman" w:cs="Times New Roman"/>
          <w:color w:val="222222"/>
          <w:sz w:val="24"/>
          <w:szCs w:val="24"/>
          <w:shd w:val="clear" w:color="auto" w:fill="FFFFFF"/>
        </w:rPr>
        <w:t xml:space="preserve"> M.</w:t>
      </w:r>
      <w:r w:rsidR="00CC369A" w:rsidRPr="00310DE5">
        <w:rPr>
          <w:rFonts w:ascii="Times New Roman" w:hAnsi="Times New Roman" w:cs="Times New Roman"/>
          <w:color w:val="222222"/>
          <w:sz w:val="24"/>
          <w:szCs w:val="24"/>
          <w:shd w:val="clear" w:color="auto" w:fill="FFFFFF"/>
        </w:rPr>
        <w:t xml:space="preserve"> </w:t>
      </w:r>
      <w:r w:rsidRPr="00310DE5">
        <w:rPr>
          <w:rFonts w:ascii="Times New Roman" w:hAnsi="Times New Roman" w:cs="Times New Roman"/>
          <w:b/>
          <w:color w:val="222222"/>
          <w:sz w:val="24"/>
          <w:szCs w:val="24"/>
          <w:shd w:val="clear" w:color="auto" w:fill="FFFFFF"/>
        </w:rPr>
        <w:t>Formação E</w:t>
      </w:r>
      <w:r w:rsidR="00CC369A" w:rsidRPr="00310DE5">
        <w:rPr>
          <w:rFonts w:ascii="Times New Roman" w:hAnsi="Times New Roman" w:cs="Times New Roman"/>
          <w:b/>
          <w:color w:val="222222"/>
          <w:sz w:val="24"/>
          <w:szCs w:val="24"/>
          <w:shd w:val="clear" w:color="auto" w:fill="FFFFFF"/>
        </w:rPr>
        <w:t>conômica do Brasil</w:t>
      </w:r>
      <w:r w:rsidR="00CC369A" w:rsidRPr="00310DE5">
        <w:rPr>
          <w:rFonts w:ascii="Times New Roman" w:hAnsi="Times New Roman" w:cs="Times New Roman"/>
          <w:color w:val="222222"/>
          <w:sz w:val="24"/>
          <w:szCs w:val="24"/>
          <w:shd w:val="clear" w:color="auto" w:fill="FFFFFF"/>
        </w:rPr>
        <w:t xml:space="preserve">. </w:t>
      </w:r>
      <w:r w:rsidRPr="00310DE5">
        <w:rPr>
          <w:rFonts w:ascii="Times New Roman" w:hAnsi="Times New Roman" w:cs="Times New Roman"/>
          <w:color w:val="222222"/>
          <w:sz w:val="24"/>
          <w:szCs w:val="24"/>
          <w:shd w:val="clear" w:color="auto" w:fill="FFFFFF"/>
        </w:rPr>
        <w:t>34ª ed. São Paulo: Companhia das Letras, 2008.</w:t>
      </w:r>
    </w:p>
    <w:p w:rsidR="00966C8F" w:rsidRDefault="00966C8F" w:rsidP="00B550B7">
      <w:pPr>
        <w:spacing w:line="240" w:lineRule="auto"/>
        <w:jc w:val="both"/>
        <w:rPr>
          <w:rFonts w:ascii="Times New Roman" w:hAnsi="Times New Roman" w:cs="Times New Roman"/>
          <w:color w:val="000000"/>
          <w:sz w:val="24"/>
          <w:szCs w:val="24"/>
        </w:rPr>
      </w:pPr>
      <w:r w:rsidRPr="00966C8F">
        <w:rPr>
          <w:rFonts w:ascii="Times New Roman" w:hAnsi="Times New Roman" w:cs="Times New Roman"/>
          <w:color w:val="000000"/>
          <w:sz w:val="24"/>
          <w:szCs w:val="24"/>
        </w:rPr>
        <w:t>HOFFMANN, R. Mensuração da desigualdade e da po</w:t>
      </w:r>
      <w:r>
        <w:rPr>
          <w:rFonts w:ascii="Times New Roman" w:hAnsi="Times New Roman" w:cs="Times New Roman"/>
          <w:color w:val="000000"/>
          <w:sz w:val="24"/>
          <w:szCs w:val="24"/>
        </w:rPr>
        <w:t xml:space="preserve">breza no Brasil. In: HENRIQUES, </w:t>
      </w:r>
      <w:r w:rsidRPr="00966C8F">
        <w:rPr>
          <w:rFonts w:ascii="Times New Roman" w:hAnsi="Times New Roman" w:cs="Times New Roman"/>
          <w:color w:val="000000"/>
          <w:sz w:val="24"/>
          <w:szCs w:val="24"/>
        </w:rPr>
        <w:t xml:space="preserve">RICARDO (ORG), </w:t>
      </w:r>
      <w:r w:rsidRPr="00966C8F">
        <w:rPr>
          <w:rFonts w:ascii="Times New Roman" w:hAnsi="Times New Roman" w:cs="Times New Roman"/>
          <w:b/>
          <w:bCs/>
          <w:color w:val="000000"/>
          <w:sz w:val="24"/>
          <w:szCs w:val="24"/>
        </w:rPr>
        <w:t>Desigualdade e pobreza no Brasil</w:t>
      </w:r>
      <w:r w:rsidRPr="00966C8F">
        <w:rPr>
          <w:rFonts w:ascii="Times New Roman" w:hAnsi="Times New Roman" w:cs="Times New Roman"/>
          <w:color w:val="000000"/>
          <w:sz w:val="24"/>
          <w:szCs w:val="24"/>
        </w:rPr>
        <w:t>. Rio de Janeiro: IPEA, 2000. Cap.3 p.81-107.</w:t>
      </w:r>
    </w:p>
    <w:p w:rsidR="004219DA" w:rsidRDefault="004219DA" w:rsidP="00B550B7">
      <w:pPr>
        <w:spacing w:line="240" w:lineRule="auto"/>
        <w:jc w:val="both"/>
        <w:rPr>
          <w:rFonts w:ascii="Times New Roman" w:hAnsi="Times New Roman" w:cs="Times New Roman"/>
          <w:color w:val="000000"/>
          <w:sz w:val="24"/>
          <w:szCs w:val="24"/>
        </w:rPr>
      </w:pPr>
      <w:r w:rsidRPr="004219DA">
        <w:rPr>
          <w:rFonts w:ascii="Times New Roman" w:hAnsi="Times New Roman" w:cs="Times New Roman"/>
          <w:color w:val="000000"/>
          <w:sz w:val="24"/>
          <w:szCs w:val="24"/>
        </w:rPr>
        <w:t xml:space="preserve">LACERDA, M. A. D. de; LACERDA R.D de. O </w:t>
      </w:r>
      <w:r>
        <w:rPr>
          <w:rFonts w:ascii="Times New Roman" w:hAnsi="Times New Roman" w:cs="Times New Roman"/>
          <w:color w:val="000000"/>
          <w:sz w:val="24"/>
          <w:szCs w:val="24"/>
        </w:rPr>
        <w:t xml:space="preserve">Cluster da fruticultura no Pólo </w:t>
      </w:r>
      <w:r w:rsidRPr="004219DA">
        <w:rPr>
          <w:rFonts w:ascii="Times New Roman" w:hAnsi="Times New Roman" w:cs="Times New Roman"/>
          <w:color w:val="000000"/>
          <w:sz w:val="24"/>
          <w:szCs w:val="24"/>
        </w:rPr>
        <w:t xml:space="preserve">Petrolina/Juazeiro. </w:t>
      </w:r>
      <w:r w:rsidRPr="004219DA">
        <w:rPr>
          <w:rFonts w:ascii="Times New Roman" w:hAnsi="Times New Roman" w:cs="Times New Roman"/>
          <w:b/>
          <w:bCs/>
          <w:color w:val="000000"/>
          <w:sz w:val="24"/>
          <w:szCs w:val="24"/>
        </w:rPr>
        <w:t>Revista de Biologia e Ciências da Terra</w:t>
      </w:r>
      <w:r w:rsidRPr="004219DA">
        <w:rPr>
          <w:rFonts w:ascii="Times New Roman" w:hAnsi="Times New Roman" w:cs="Times New Roman"/>
          <w:color w:val="000000"/>
          <w:sz w:val="24"/>
          <w:szCs w:val="24"/>
        </w:rPr>
        <w:t xml:space="preserve">, Volume 4 – Número 1, </w:t>
      </w:r>
      <w:r>
        <w:rPr>
          <w:rFonts w:ascii="Times New Roman" w:hAnsi="Times New Roman" w:cs="Times New Roman"/>
          <w:color w:val="000000"/>
          <w:sz w:val="24"/>
          <w:szCs w:val="24"/>
        </w:rPr>
        <w:t>1º</w:t>
      </w:r>
      <w:r w:rsidR="00C30800">
        <w:rPr>
          <w:rFonts w:ascii="Times New Roman" w:hAnsi="Times New Roman" w:cs="Times New Roman"/>
          <w:color w:val="000000"/>
          <w:sz w:val="24"/>
          <w:szCs w:val="24"/>
        </w:rPr>
        <w:t xml:space="preserve"> </w:t>
      </w:r>
      <w:r w:rsidRPr="004219DA">
        <w:rPr>
          <w:rFonts w:ascii="Times New Roman" w:hAnsi="Times New Roman" w:cs="Times New Roman"/>
          <w:color w:val="000000"/>
          <w:sz w:val="24"/>
          <w:szCs w:val="24"/>
        </w:rPr>
        <w:t>semestre 2004</w:t>
      </w:r>
      <w:r>
        <w:rPr>
          <w:rFonts w:ascii="Times New Roman" w:hAnsi="Times New Roman" w:cs="Times New Roman"/>
          <w:color w:val="000000"/>
          <w:sz w:val="24"/>
          <w:szCs w:val="24"/>
        </w:rPr>
        <w:t>.</w:t>
      </w:r>
      <w:r w:rsidRPr="004219DA">
        <w:rPr>
          <w:rFonts w:ascii="Times New Roman" w:hAnsi="Times New Roman" w:cs="Times New Roman"/>
          <w:color w:val="000000"/>
          <w:sz w:val="24"/>
          <w:szCs w:val="24"/>
        </w:rPr>
        <w:t xml:space="preserve"> </w:t>
      </w:r>
    </w:p>
    <w:p w:rsidR="004219DA" w:rsidRPr="004219DA" w:rsidRDefault="004219DA" w:rsidP="00B550B7">
      <w:pPr>
        <w:spacing w:line="240" w:lineRule="auto"/>
        <w:jc w:val="both"/>
        <w:rPr>
          <w:rFonts w:ascii="Times New Roman" w:hAnsi="Times New Roman" w:cs="Times New Roman"/>
          <w:color w:val="222222"/>
          <w:sz w:val="24"/>
          <w:szCs w:val="24"/>
          <w:shd w:val="clear" w:color="auto" w:fill="FFFFFF"/>
        </w:rPr>
      </w:pPr>
      <w:r w:rsidRPr="004219DA">
        <w:rPr>
          <w:rFonts w:ascii="Times New Roman" w:hAnsi="Times New Roman" w:cs="Times New Roman"/>
          <w:color w:val="000000"/>
          <w:sz w:val="24"/>
          <w:szCs w:val="24"/>
        </w:rPr>
        <w:t>LIMA, J. P. R.;</w:t>
      </w:r>
      <w:r>
        <w:rPr>
          <w:rFonts w:ascii="Times New Roman" w:hAnsi="Times New Roman" w:cs="Times New Roman"/>
          <w:color w:val="000000"/>
          <w:sz w:val="24"/>
          <w:szCs w:val="24"/>
        </w:rPr>
        <w:t xml:space="preserve"> </w:t>
      </w:r>
      <w:r w:rsidRPr="004219DA">
        <w:rPr>
          <w:rFonts w:ascii="Times New Roman" w:hAnsi="Times New Roman" w:cs="Times New Roman"/>
          <w:color w:val="000000"/>
          <w:sz w:val="24"/>
          <w:szCs w:val="24"/>
        </w:rPr>
        <w:t>SICSÚ, A. B.; PADILHA, M. F. F. G. Economia de Pernambuco: transformações recentes e perspectivas n</w:t>
      </w:r>
      <w:r>
        <w:rPr>
          <w:rFonts w:ascii="Times New Roman" w:hAnsi="Times New Roman" w:cs="Times New Roman"/>
          <w:color w:val="000000"/>
          <w:sz w:val="24"/>
          <w:szCs w:val="24"/>
        </w:rPr>
        <w:t>o contexto regional globalizado</w:t>
      </w:r>
      <w:r w:rsidRPr="004219DA">
        <w:rPr>
          <w:rFonts w:ascii="Times New Roman" w:hAnsi="Times New Roman" w:cs="Times New Roman"/>
          <w:color w:val="000000"/>
          <w:sz w:val="24"/>
          <w:szCs w:val="24"/>
        </w:rPr>
        <w:t xml:space="preserve">. </w:t>
      </w:r>
      <w:r w:rsidRPr="004219DA">
        <w:rPr>
          <w:rFonts w:ascii="Times New Roman" w:hAnsi="Times New Roman" w:cs="Times New Roman"/>
          <w:b/>
          <w:bCs/>
          <w:color w:val="000000"/>
          <w:sz w:val="24"/>
          <w:szCs w:val="24"/>
        </w:rPr>
        <w:t>Revista</w:t>
      </w:r>
      <w:r w:rsidRPr="004219DA">
        <w:rPr>
          <w:rFonts w:ascii="Times New Roman" w:hAnsi="Times New Roman" w:cs="Times New Roman"/>
          <w:color w:val="000000"/>
          <w:sz w:val="24"/>
          <w:szCs w:val="24"/>
        </w:rPr>
        <w:br/>
      </w:r>
      <w:r w:rsidRPr="004219DA">
        <w:rPr>
          <w:rFonts w:ascii="Times New Roman" w:hAnsi="Times New Roman" w:cs="Times New Roman"/>
          <w:b/>
          <w:bCs/>
          <w:color w:val="000000"/>
          <w:sz w:val="24"/>
          <w:szCs w:val="24"/>
        </w:rPr>
        <w:t>Econômica do Nordeste</w:t>
      </w:r>
      <w:r w:rsidRPr="004219DA">
        <w:rPr>
          <w:rFonts w:ascii="Times New Roman" w:hAnsi="Times New Roman" w:cs="Times New Roman"/>
          <w:color w:val="000000"/>
          <w:sz w:val="24"/>
          <w:szCs w:val="24"/>
        </w:rPr>
        <w:t>, v. 38, n. 4, p. 525-541, 2007.</w:t>
      </w:r>
    </w:p>
    <w:p w:rsidR="009F1127" w:rsidRDefault="009F1127" w:rsidP="00B550B7">
      <w:pPr>
        <w:spacing w:line="240" w:lineRule="auto"/>
        <w:jc w:val="both"/>
        <w:rPr>
          <w:rFonts w:ascii="Times New Roman" w:hAnsi="Times New Roman" w:cs="Times New Roman"/>
          <w:color w:val="000000"/>
          <w:sz w:val="24"/>
          <w:szCs w:val="24"/>
        </w:rPr>
      </w:pPr>
      <w:r w:rsidRPr="009F1127">
        <w:rPr>
          <w:rFonts w:ascii="Times New Roman" w:hAnsi="Times New Roman" w:cs="Times New Roman"/>
          <w:color w:val="222222"/>
          <w:sz w:val="24"/>
          <w:szCs w:val="24"/>
          <w:shd w:val="clear" w:color="auto" w:fill="FFFFFF"/>
        </w:rPr>
        <w:t xml:space="preserve">MONTEIRO NETO, A. </w:t>
      </w:r>
      <w:r w:rsidRPr="009F1127">
        <w:rPr>
          <w:rFonts w:ascii="Times New Roman" w:hAnsi="Times New Roman" w:cs="Times New Roman"/>
          <w:b/>
          <w:color w:val="222222"/>
          <w:sz w:val="24"/>
          <w:szCs w:val="24"/>
          <w:shd w:val="clear" w:color="auto" w:fill="FFFFFF"/>
        </w:rPr>
        <w:t>Desigualdades Setoriais e Crescimento do PIB no Nordeste: Uma análise do Período 1970/1995</w:t>
      </w:r>
      <w:r w:rsidRPr="009F1127">
        <w:rPr>
          <w:rFonts w:ascii="Times New Roman" w:hAnsi="Times New Roman" w:cs="Times New Roman"/>
          <w:color w:val="222222"/>
          <w:sz w:val="24"/>
          <w:szCs w:val="24"/>
          <w:shd w:val="clear" w:color="auto" w:fill="FFFFFF"/>
        </w:rPr>
        <w:t>. Brasília</w:t>
      </w:r>
      <w:r w:rsidRPr="009F1127">
        <w:rPr>
          <w:rFonts w:ascii="Times New Roman" w:hAnsi="Times New Roman" w:cs="Times New Roman"/>
          <w:color w:val="000000"/>
          <w:sz w:val="24"/>
          <w:szCs w:val="24"/>
        </w:rPr>
        <w:t>: Instituto de Pesquisa Econômica Aplicada - IPEA, ma</w:t>
      </w:r>
      <w:r>
        <w:rPr>
          <w:rFonts w:ascii="Times New Roman" w:hAnsi="Times New Roman" w:cs="Times New Roman"/>
          <w:color w:val="000000"/>
          <w:sz w:val="24"/>
          <w:szCs w:val="24"/>
        </w:rPr>
        <w:t>io</w:t>
      </w:r>
      <w:r w:rsidRPr="009F1127">
        <w:rPr>
          <w:rFonts w:ascii="Times New Roman" w:hAnsi="Times New Roman" w:cs="Times New Roman"/>
          <w:color w:val="000000"/>
          <w:sz w:val="24"/>
          <w:szCs w:val="24"/>
        </w:rPr>
        <w:t xml:space="preserve">. </w:t>
      </w:r>
      <w:r w:rsidR="00F73242">
        <w:rPr>
          <w:rFonts w:ascii="Times New Roman" w:hAnsi="Times New Roman" w:cs="Times New Roman"/>
          <w:color w:val="000000"/>
          <w:sz w:val="24"/>
          <w:szCs w:val="24"/>
        </w:rPr>
        <w:t>1997</w:t>
      </w:r>
      <w:r>
        <w:rPr>
          <w:rFonts w:ascii="Times New Roman" w:hAnsi="Times New Roman" w:cs="Times New Roman"/>
          <w:color w:val="000000"/>
          <w:sz w:val="24"/>
          <w:szCs w:val="24"/>
        </w:rPr>
        <w:t>. (Texto para discussão; n. 484</w:t>
      </w:r>
      <w:r w:rsidRPr="009F1127">
        <w:rPr>
          <w:rFonts w:ascii="Times New Roman" w:hAnsi="Times New Roman" w:cs="Times New Roman"/>
          <w:color w:val="000000"/>
          <w:sz w:val="24"/>
          <w:szCs w:val="24"/>
        </w:rPr>
        <w:t>).</w:t>
      </w:r>
    </w:p>
    <w:p w:rsidR="000564D7" w:rsidRPr="000564D7" w:rsidRDefault="000564D7" w:rsidP="00B550B7">
      <w:pPr>
        <w:spacing w:line="240" w:lineRule="auto"/>
        <w:jc w:val="both"/>
        <w:rPr>
          <w:rFonts w:ascii="Times New Roman" w:hAnsi="Times New Roman" w:cs="Times New Roman"/>
          <w:color w:val="222222"/>
          <w:sz w:val="24"/>
          <w:szCs w:val="24"/>
          <w:shd w:val="clear" w:color="auto" w:fill="FFFFFF"/>
        </w:rPr>
      </w:pPr>
      <w:r w:rsidRPr="000564D7">
        <w:rPr>
          <w:rFonts w:ascii="Times New Roman" w:hAnsi="Times New Roman" w:cs="Times New Roman"/>
          <w:color w:val="000000"/>
          <w:sz w:val="24"/>
          <w:szCs w:val="24"/>
        </w:rPr>
        <w:t xml:space="preserve">RAMOS, L. A desigualdade de rendimentos do trabalho no </w:t>
      </w:r>
      <w:r w:rsidR="00BD0274" w:rsidRPr="000564D7">
        <w:rPr>
          <w:rFonts w:ascii="Times New Roman" w:hAnsi="Times New Roman" w:cs="Times New Roman"/>
          <w:color w:val="000000"/>
          <w:sz w:val="24"/>
          <w:szCs w:val="24"/>
        </w:rPr>
        <w:t>Período</w:t>
      </w:r>
      <w:r w:rsidRPr="000564D7">
        <w:rPr>
          <w:rFonts w:ascii="Times New Roman" w:hAnsi="Times New Roman" w:cs="Times New Roman"/>
          <w:color w:val="000000"/>
          <w:sz w:val="24"/>
          <w:szCs w:val="24"/>
        </w:rPr>
        <w:t xml:space="preserve"> pós-Re</w:t>
      </w:r>
      <w:r>
        <w:rPr>
          <w:rFonts w:ascii="Times New Roman" w:hAnsi="Times New Roman" w:cs="Times New Roman"/>
          <w:color w:val="000000"/>
          <w:sz w:val="24"/>
          <w:szCs w:val="24"/>
        </w:rPr>
        <w:t xml:space="preserve">al: o papel da </w:t>
      </w:r>
      <w:r w:rsidRPr="000564D7">
        <w:rPr>
          <w:rFonts w:ascii="Times New Roman" w:hAnsi="Times New Roman" w:cs="Times New Roman"/>
          <w:color w:val="000000"/>
          <w:sz w:val="24"/>
          <w:szCs w:val="24"/>
        </w:rPr>
        <w:t xml:space="preserve">escolaridade e do desemprego. </w:t>
      </w:r>
      <w:r w:rsidRPr="000564D7">
        <w:rPr>
          <w:rFonts w:ascii="Times New Roman" w:hAnsi="Times New Roman" w:cs="Times New Roman"/>
          <w:b/>
          <w:bCs/>
          <w:iCs/>
          <w:color w:val="000000"/>
          <w:sz w:val="24"/>
          <w:szCs w:val="24"/>
        </w:rPr>
        <w:t>Economia Aplicada</w:t>
      </w:r>
      <w:r w:rsidRPr="000564D7">
        <w:rPr>
          <w:rFonts w:ascii="Times New Roman" w:hAnsi="Times New Roman" w:cs="Times New Roman"/>
          <w:i/>
          <w:iCs/>
          <w:color w:val="000000"/>
          <w:sz w:val="24"/>
          <w:szCs w:val="24"/>
        </w:rPr>
        <w:t xml:space="preserve">, </w:t>
      </w:r>
      <w:r w:rsidRPr="000564D7">
        <w:rPr>
          <w:rFonts w:ascii="Times New Roman" w:hAnsi="Times New Roman" w:cs="Times New Roman"/>
          <w:color w:val="000000"/>
          <w:sz w:val="24"/>
          <w:szCs w:val="24"/>
        </w:rPr>
        <w:t>São Paulo,</w:t>
      </w:r>
      <w:r>
        <w:rPr>
          <w:rFonts w:ascii="Times New Roman" w:hAnsi="Times New Roman" w:cs="Times New Roman"/>
          <w:color w:val="000000"/>
          <w:sz w:val="24"/>
          <w:szCs w:val="24"/>
        </w:rPr>
        <w:t xml:space="preserve"> v. 11, n. 2, p. 281-301, abril junho, </w:t>
      </w:r>
      <w:r w:rsidRPr="000564D7">
        <w:rPr>
          <w:rFonts w:ascii="Times New Roman" w:hAnsi="Times New Roman" w:cs="Times New Roman"/>
          <w:color w:val="000000"/>
          <w:sz w:val="24"/>
          <w:szCs w:val="24"/>
        </w:rPr>
        <w:t>2007</w:t>
      </w:r>
      <w:r>
        <w:rPr>
          <w:rFonts w:ascii="Times New Roman" w:hAnsi="Times New Roman" w:cs="Times New Roman"/>
          <w:color w:val="000000"/>
          <w:sz w:val="24"/>
          <w:szCs w:val="24"/>
        </w:rPr>
        <w:t>.</w:t>
      </w:r>
    </w:p>
    <w:p w:rsidR="009F1AD3" w:rsidRPr="00FD22B7" w:rsidRDefault="009F1AD3" w:rsidP="00B550B7">
      <w:pPr>
        <w:spacing w:line="240" w:lineRule="auto"/>
        <w:jc w:val="both"/>
        <w:rPr>
          <w:rFonts w:ascii="Times New Roman" w:hAnsi="Times New Roman" w:cs="Times New Roman"/>
          <w:color w:val="222222"/>
          <w:sz w:val="24"/>
          <w:szCs w:val="24"/>
          <w:shd w:val="clear" w:color="auto" w:fill="FFFFFF"/>
        </w:rPr>
      </w:pPr>
      <w:r w:rsidRPr="00A52EF9">
        <w:rPr>
          <w:rFonts w:ascii="Times New Roman" w:hAnsi="Times New Roman" w:cs="Times New Roman"/>
          <w:color w:val="222222"/>
          <w:sz w:val="24"/>
          <w:szCs w:val="24"/>
          <w:shd w:val="clear" w:color="auto" w:fill="FFFFFF"/>
        </w:rPr>
        <w:t>PEREIRA, A</w:t>
      </w:r>
      <w:r w:rsidR="00FD22B7" w:rsidRPr="00A52EF9">
        <w:rPr>
          <w:rFonts w:ascii="Times New Roman" w:hAnsi="Times New Roman" w:cs="Times New Roman"/>
          <w:color w:val="222222"/>
          <w:sz w:val="24"/>
          <w:szCs w:val="24"/>
          <w:shd w:val="clear" w:color="auto" w:fill="FFFFFF"/>
        </w:rPr>
        <w:t xml:space="preserve">. </w:t>
      </w:r>
      <w:r w:rsidRPr="00A52EF9">
        <w:rPr>
          <w:rFonts w:ascii="Times New Roman" w:hAnsi="Times New Roman" w:cs="Times New Roman"/>
          <w:color w:val="222222"/>
          <w:sz w:val="24"/>
          <w:szCs w:val="24"/>
          <w:shd w:val="clear" w:color="auto" w:fill="FFFFFF"/>
        </w:rPr>
        <w:t>F</w:t>
      </w:r>
      <w:r w:rsidR="00FD22B7" w:rsidRPr="00A52EF9">
        <w:rPr>
          <w:rFonts w:ascii="Times New Roman" w:hAnsi="Times New Roman" w:cs="Times New Roman"/>
          <w:color w:val="222222"/>
          <w:sz w:val="24"/>
          <w:szCs w:val="24"/>
          <w:shd w:val="clear" w:color="auto" w:fill="FFFFFF"/>
        </w:rPr>
        <w:t xml:space="preserve">. </w:t>
      </w:r>
      <w:r w:rsidRPr="00A52EF9">
        <w:rPr>
          <w:rFonts w:ascii="Times New Roman" w:hAnsi="Times New Roman" w:cs="Times New Roman"/>
          <w:color w:val="222222"/>
          <w:sz w:val="24"/>
          <w:szCs w:val="24"/>
          <w:shd w:val="clear" w:color="auto" w:fill="FFFFFF"/>
        </w:rPr>
        <w:t>C</w:t>
      </w:r>
      <w:r w:rsidR="00FD22B7" w:rsidRPr="00A52EF9">
        <w:rPr>
          <w:rFonts w:ascii="Times New Roman" w:hAnsi="Times New Roman" w:cs="Times New Roman"/>
          <w:color w:val="222222"/>
          <w:sz w:val="24"/>
          <w:szCs w:val="24"/>
          <w:shd w:val="clear" w:color="auto" w:fill="FFFFFF"/>
        </w:rPr>
        <w:t>.; LIMA, J. R. F.; ARAÚJO JÚNIOR, J. N.</w:t>
      </w:r>
      <w:r w:rsidRPr="00A52EF9">
        <w:rPr>
          <w:rFonts w:ascii="Times New Roman" w:hAnsi="Times New Roman" w:cs="Times New Roman"/>
          <w:color w:val="222222"/>
          <w:sz w:val="24"/>
          <w:szCs w:val="24"/>
          <w:shd w:val="clear" w:color="auto" w:fill="FFFFFF"/>
        </w:rPr>
        <w:t xml:space="preserve"> Análise da evolução da pobreza</w:t>
      </w:r>
      <w:r w:rsidR="00FD22B7" w:rsidRPr="00A52EF9">
        <w:rPr>
          <w:rFonts w:ascii="Times New Roman" w:hAnsi="Times New Roman" w:cs="Times New Roman"/>
          <w:color w:val="222222"/>
          <w:sz w:val="24"/>
          <w:szCs w:val="24"/>
          <w:shd w:val="clear" w:color="auto" w:fill="FFFFFF"/>
        </w:rPr>
        <w:t>, desigualdade e nível educacional no meio rural do Estado de Pernambuco: 1995-2012.</w:t>
      </w:r>
      <w:r w:rsidRPr="00A52EF9">
        <w:rPr>
          <w:rFonts w:ascii="Times New Roman" w:hAnsi="Times New Roman" w:cs="Times New Roman"/>
          <w:color w:val="222222"/>
          <w:sz w:val="24"/>
          <w:szCs w:val="24"/>
          <w:shd w:val="clear" w:color="auto" w:fill="FFFFFF"/>
        </w:rPr>
        <w:t xml:space="preserve"> In:</w:t>
      </w:r>
      <w:r w:rsidR="00BD0274" w:rsidRPr="00A52EF9">
        <w:rPr>
          <w:rFonts w:ascii="Times New Roman" w:hAnsi="Times New Roman" w:cs="Times New Roman"/>
          <w:color w:val="222222"/>
          <w:sz w:val="24"/>
          <w:szCs w:val="24"/>
          <w:shd w:val="clear" w:color="auto" w:fill="FFFFFF"/>
        </w:rPr>
        <w:t xml:space="preserve"> </w:t>
      </w:r>
      <w:r w:rsidR="00FD22B7" w:rsidRPr="00A52EF9">
        <w:rPr>
          <w:rFonts w:ascii="Times New Roman" w:hAnsi="Times New Roman" w:cs="Times New Roman"/>
          <w:b/>
          <w:bCs/>
          <w:color w:val="222222"/>
          <w:sz w:val="24"/>
          <w:szCs w:val="24"/>
          <w:shd w:val="clear" w:color="auto" w:fill="FFFFFF"/>
        </w:rPr>
        <w:t xml:space="preserve">Anais... </w:t>
      </w:r>
      <w:r w:rsidR="00654010" w:rsidRPr="00A52EF9">
        <w:rPr>
          <w:rFonts w:ascii="Times New Roman" w:hAnsi="Times New Roman" w:cs="Times New Roman"/>
          <w:bCs/>
          <w:color w:val="222222"/>
          <w:sz w:val="24"/>
          <w:szCs w:val="24"/>
          <w:shd w:val="clear" w:color="auto" w:fill="FFFFFF"/>
        </w:rPr>
        <w:t>do III</w:t>
      </w:r>
      <w:r w:rsidR="00654010">
        <w:rPr>
          <w:rFonts w:ascii="Times New Roman" w:hAnsi="Times New Roman" w:cs="Times New Roman"/>
          <w:b/>
          <w:bCs/>
          <w:color w:val="222222"/>
          <w:sz w:val="24"/>
          <w:szCs w:val="24"/>
          <w:shd w:val="clear" w:color="auto" w:fill="FFFFFF"/>
        </w:rPr>
        <w:t xml:space="preserve"> </w:t>
      </w:r>
      <w:r w:rsidR="00FD22B7" w:rsidRPr="00FD22B7">
        <w:rPr>
          <w:rFonts w:ascii="Times New Roman" w:hAnsi="Times New Roman" w:cs="Times New Roman"/>
          <w:bCs/>
          <w:color w:val="222222"/>
          <w:sz w:val="24"/>
          <w:szCs w:val="24"/>
          <w:shd w:val="clear" w:color="auto" w:fill="FFFFFF"/>
        </w:rPr>
        <w:t>Encontro Pernambucan</w:t>
      </w:r>
      <w:r w:rsidR="00654010">
        <w:rPr>
          <w:rFonts w:ascii="Times New Roman" w:hAnsi="Times New Roman" w:cs="Times New Roman"/>
          <w:bCs/>
          <w:color w:val="222222"/>
          <w:sz w:val="24"/>
          <w:szCs w:val="24"/>
          <w:shd w:val="clear" w:color="auto" w:fill="FFFFFF"/>
        </w:rPr>
        <w:t>o de Economia (ENPECON)</w:t>
      </w:r>
      <w:r w:rsidR="00FD22B7" w:rsidRPr="00FD22B7">
        <w:rPr>
          <w:rFonts w:ascii="Times New Roman" w:hAnsi="Times New Roman" w:cs="Times New Roman"/>
          <w:bCs/>
          <w:color w:val="222222"/>
          <w:sz w:val="24"/>
          <w:szCs w:val="24"/>
          <w:shd w:val="clear" w:color="auto" w:fill="FFFFFF"/>
        </w:rPr>
        <w:t>,</w:t>
      </w:r>
      <w:r w:rsidR="00A52EF9">
        <w:rPr>
          <w:rFonts w:ascii="Times New Roman" w:hAnsi="Times New Roman" w:cs="Times New Roman"/>
          <w:bCs/>
          <w:color w:val="222222"/>
          <w:sz w:val="24"/>
          <w:szCs w:val="24"/>
          <w:shd w:val="clear" w:color="auto" w:fill="FFFFFF"/>
        </w:rPr>
        <w:t xml:space="preserve"> 2014.</w:t>
      </w:r>
      <w:r w:rsidR="00FD22B7" w:rsidRPr="00FD22B7">
        <w:rPr>
          <w:rFonts w:ascii="Times New Roman" w:hAnsi="Times New Roman" w:cs="Times New Roman"/>
          <w:bCs/>
          <w:color w:val="222222"/>
          <w:sz w:val="24"/>
          <w:szCs w:val="24"/>
          <w:shd w:val="clear" w:color="auto" w:fill="FFFFFF"/>
        </w:rPr>
        <w:t xml:space="preserve"> </w:t>
      </w:r>
    </w:p>
    <w:p w:rsidR="0066790A" w:rsidRDefault="0066790A" w:rsidP="00B550B7">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PNUD – </w:t>
      </w:r>
      <w:r w:rsidRPr="007767B5">
        <w:rPr>
          <w:rFonts w:ascii="Times New Roman" w:hAnsi="Times New Roman"/>
          <w:color w:val="333333"/>
          <w:sz w:val="24"/>
          <w:szCs w:val="24"/>
        </w:rPr>
        <w:t>Programa das Nações Unidas para o Desenvolvimento</w:t>
      </w:r>
      <w:r>
        <w:rPr>
          <w:rFonts w:ascii="Times New Roman" w:hAnsi="Times New Roman"/>
          <w:sz w:val="24"/>
          <w:szCs w:val="24"/>
          <w:lang w:val="en-US"/>
        </w:rPr>
        <w:t xml:space="preserve">. </w:t>
      </w:r>
      <w:r w:rsidRPr="00CF6E35">
        <w:rPr>
          <w:rFonts w:ascii="Times New Roman" w:hAnsi="Times New Roman"/>
          <w:b/>
          <w:sz w:val="24"/>
          <w:szCs w:val="24"/>
          <w:lang w:val="en-US"/>
        </w:rPr>
        <w:t>Atlas do Desenvolvimento Humano no Brasil 2013</w:t>
      </w:r>
      <w:r>
        <w:rPr>
          <w:rFonts w:ascii="Times New Roman" w:hAnsi="Times New Roman"/>
          <w:sz w:val="24"/>
          <w:szCs w:val="24"/>
          <w:lang w:val="en-US"/>
        </w:rPr>
        <w:t xml:space="preserve">.  Disponível em: </w:t>
      </w:r>
      <w:hyperlink r:id="rId19" w:history="1">
        <w:r w:rsidRPr="0010530B">
          <w:rPr>
            <w:rStyle w:val="Hyperlink"/>
            <w:rFonts w:ascii="Times New Roman" w:hAnsi="Times New Roman"/>
            <w:sz w:val="24"/>
            <w:szCs w:val="24"/>
            <w:lang w:val="en-US"/>
          </w:rPr>
          <w:t>http://www.atlasbrasil.org.br/2013/</w:t>
        </w:r>
      </w:hyperlink>
      <w:r>
        <w:rPr>
          <w:rFonts w:ascii="Times New Roman" w:hAnsi="Times New Roman"/>
          <w:sz w:val="24"/>
          <w:szCs w:val="24"/>
          <w:lang w:val="en-US"/>
        </w:rPr>
        <w:t xml:space="preserve"> </w:t>
      </w:r>
    </w:p>
    <w:p w:rsidR="008466CA" w:rsidRPr="008466CA" w:rsidRDefault="008466CA" w:rsidP="00B550B7">
      <w:pPr>
        <w:spacing w:line="240" w:lineRule="auto"/>
        <w:jc w:val="both"/>
        <w:rPr>
          <w:rFonts w:ascii="Times New Roman" w:hAnsi="Times New Roman" w:cs="Times New Roman"/>
          <w:sz w:val="24"/>
          <w:szCs w:val="24"/>
          <w:lang w:val="en-US"/>
        </w:rPr>
      </w:pPr>
      <w:r w:rsidRPr="008466CA">
        <w:rPr>
          <w:rFonts w:ascii="Times New Roman" w:hAnsi="Times New Roman" w:cs="Times New Roman"/>
          <w:color w:val="222222"/>
          <w:sz w:val="24"/>
          <w:szCs w:val="24"/>
          <w:shd w:val="clear" w:color="auto" w:fill="FFFFFF"/>
        </w:rPr>
        <w:t>PESSÔA, Samuel de Abreu. Existe um Problema de Desigualdade Regional no Brasil?.</w:t>
      </w:r>
      <w:r w:rsidRPr="008466CA">
        <w:rPr>
          <w:rStyle w:val="apple-converted-space"/>
          <w:rFonts w:ascii="Times New Roman" w:hAnsi="Times New Roman" w:cs="Times New Roman"/>
          <w:color w:val="222222"/>
          <w:sz w:val="24"/>
          <w:szCs w:val="24"/>
          <w:shd w:val="clear" w:color="auto" w:fill="FFFFFF"/>
        </w:rPr>
        <w:t> </w:t>
      </w:r>
      <w:r w:rsidRPr="008466CA">
        <w:rPr>
          <w:rFonts w:ascii="Times New Roman" w:hAnsi="Times New Roman" w:cs="Times New Roman"/>
          <w:b/>
          <w:bCs/>
          <w:color w:val="222222"/>
          <w:sz w:val="24"/>
          <w:szCs w:val="24"/>
          <w:shd w:val="clear" w:color="auto" w:fill="FFFFFF"/>
        </w:rPr>
        <w:t>Revista Econômica do Nordeste</w:t>
      </w:r>
      <w:r w:rsidRPr="008466CA">
        <w:rPr>
          <w:rFonts w:ascii="Times New Roman" w:hAnsi="Times New Roman" w:cs="Times New Roman"/>
          <w:color w:val="222222"/>
          <w:sz w:val="24"/>
          <w:szCs w:val="24"/>
          <w:shd w:val="clear" w:color="auto" w:fill="FFFFFF"/>
        </w:rPr>
        <w:t>, v. 28, n. 4, 1997.</w:t>
      </w:r>
    </w:p>
    <w:p w:rsidR="00447F28" w:rsidRPr="00447F28" w:rsidRDefault="00447F28" w:rsidP="00B550B7">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ROCHA, R. M.; SILVA JÚNIOR, L. H.; VIANA, J. A. B. Inovação e competição: Um estudo de caso do arranjo produtivo de confecção do Agreste Pernambucano. </w:t>
      </w:r>
      <w:r w:rsidRPr="00447F28">
        <w:rPr>
          <w:rFonts w:ascii="Times New Roman" w:hAnsi="Times New Roman" w:cs="Times New Roman"/>
          <w:b/>
          <w:color w:val="000000"/>
          <w:sz w:val="24"/>
          <w:szCs w:val="24"/>
        </w:rPr>
        <w:t>Gestão e Desenvolvimento em Revista</w:t>
      </w:r>
      <w:r>
        <w:rPr>
          <w:rFonts w:ascii="Times New Roman" w:hAnsi="Times New Roman" w:cs="Times New Roman"/>
          <w:color w:val="000000"/>
          <w:sz w:val="24"/>
          <w:szCs w:val="24"/>
        </w:rPr>
        <w:t>,</w:t>
      </w:r>
      <w:r w:rsidRPr="00447F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w:t>
      </w:r>
      <w:r w:rsidRPr="00447F28">
        <w:rPr>
          <w:rFonts w:ascii="Times New Roman" w:hAnsi="Times New Roman" w:cs="Times New Roman"/>
          <w:color w:val="000000"/>
          <w:sz w:val="24"/>
          <w:szCs w:val="24"/>
        </w:rPr>
        <w:t xml:space="preserve">. 1, </w:t>
      </w:r>
      <w:r>
        <w:rPr>
          <w:rFonts w:ascii="Times New Roman" w:hAnsi="Times New Roman" w:cs="Times New Roman"/>
          <w:color w:val="000000"/>
          <w:sz w:val="24"/>
          <w:szCs w:val="24"/>
        </w:rPr>
        <w:t xml:space="preserve">n. 1, </w:t>
      </w:r>
      <w:r w:rsidRPr="00447F28">
        <w:rPr>
          <w:rFonts w:ascii="Times New Roman" w:hAnsi="Times New Roman" w:cs="Times New Roman"/>
          <w:color w:val="000000"/>
          <w:sz w:val="24"/>
          <w:szCs w:val="24"/>
        </w:rPr>
        <w:t>p. 50-80</w:t>
      </w:r>
      <w:r>
        <w:rPr>
          <w:rFonts w:ascii="Times New Roman" w:hAnsi="Times New Roman" w:cs="Times New Roman"/>
          <w:color w:val="000000"/>
          <w:sz w:val="24"/>
          <w:szCs w:val="24"/>
        </w:rPr>
        <w:t>, jan-jun/2015.</w:t>
      </w:r>
      <w:r w:rsidRPr="00447F28">
        <w:rPr>
          <w:rFonts w:ascii="Times New Roman" w:hAnsi="Times New Roman" w:cs="Times New Roman"/>
          <w:color w:val="000000"/>
          <w:sz w:val="24"/>
          <w:szCs w:val="24"/>
        </w:rPr>
        <w:t xml:space="preserve"> </w:t>
      </w:r>
    </w:p>
    <w:p w:rsidR="009F1AD3" w:rsidRDefault="009F1AD3" w:rsidP="00B550B7">
      <w:pPr>
        <w:spacing w:line="240" w:lineRule="auto"/>
        <w:jc w:val="both"/>
        <w:rPr>
          <w:rFonts w:ascii="Times New Roman" w:hAnsi="Times New Roman" w:cs="Times New Roman"/>
          <w:color w:val="222222"/>
          <w:sz w:val="24"/>
          <w:szCs w:val="24"/>
          <w:shd w:val="clear" w:color="auto" w:fill="FFFFFF"/>
        </w:rPr>
      </w:pPr>
      <w:r w:rsidRPr="00BD0274">
        <w:rPr>
          <w:rFonts w:ascii="Times New Roman" w:hAnsi="Times New Roman" w:cs="Times New Roman"/>
          <w:color w:val="222222"/>
          <w:sz w:val="24"/>
          <w:szCs w:val="24"/>
          <w:shd w:val="clear" w:color="auto" w:fill="FFFFFF"/>
        </w:rPr>
        <w:t>SALVATO, M</w:t>
      </w:r>
      <w:r w:rsidR="00BD0274" w:rsidRPr="00BD0274">
        <w:rPr>
          <w:rFonts w:ascii="Times New Roman" w:hAnsi="Times New Roman" w:cs="Times New Roman"/>
          <w:color w:val="222222"/>
          <w:sz w:val="24"/>
          <w:szCs w:val="24"/>
          <w:shd w:val="clear" w:color="auto" w:fill="FFFFFF"/>
        </w:rPr>
        <w:t>.</w:t>
      </w:r>
      <w:r w:rsidRPr="00BD0274">
        <w:rPr>
          <w:rFonts w:ascii="Times New Roman" w:hAnsi="Times New Roman" w:cs="Times New Roman"/>
          <w:color w:val="222222"/>
          <w:sz w:val="24"/>
          <w:szCs w:val="24"/>
          <w:shd w:val="clear" w:color="auto" w:fill="FFFFFF"/>
        </w:rPr>
        <w:t xml:space="preserve"> A</w:t>
      </w:r>
      <w:r w:rsidR="00BD0274" w:rsidRPr="00BD0274">
        <w:rPr>
          <w:rFonts w:ascii="Times New Roman" w:hAnsi="Times New Roman" w:cs="Times New Roman"/>
          <w:color w:val="222222"/>
          <w:sz w:val="24"/>
          <w:szCs w:val="24"/>
          <w:shd w:val="clear" w:color="auto" w:fill="FFFFFF"/>
        </w:rPr>
        <w:t>.</w:t>
      </w:r>
      <w:r w:rsidRPr="00BD0274">
        <w:rPr>
          <w:rFonts w:ascii="Times New Roman" w:hAnsi="Times New Roman" w:cs="Times New Roman"/>
          <w:color w:val="222222"/>
          <w:sz w:val="24"/>
          <w:szCs w:val="24"/>
          <w:shd w:val="clear" w:color="auto" w:fill="FFFFFF"/>
        </w:rPr>
        <w:t>; SOUZA, P</w:t>
      </w:r>
      <w:r w:rsidR="00BD0274" w:rsidRPr="00BD0274">
        <w:rPr>
          <w:rFonts w:ascii="Times New Roman" w:hAnsi="Times New Roman" w:cs="Times New Roman"/>
          <w:color w:val="222222"/>
          <w:sz w:val="24"/>
          <w:szCs w:val="24"/>
          <w:shd w:val="clear" w:color="auto" w:fill="FFFFFF"/>
        </w:rPr>
        <w:t>.</w:t>
      </w:r>
      <w:r w:rsidRPr="00BD0274">
        <w:rPr>
          <w:rFonts w:ascii="Times New Roman" w:hAnsi="Times New Roman" w:cs="Times New Roman"/>
          <w:color w:val="222222"/>
          <w:sz w:val="24"/>
          <w:szCs w:val="24"/>
          <w:shd w:val="clear" w:color="auto" w:fill="FFFFFF"/>
        </w:rPr>
        <w:t xml:space="preserve"> F</w:t>
      </w:r>
      <w:r w:rsidR="00BD0274" w:rsidRPr="00BD0274">
        <w:rPr>
          <w:rFonts w:ascii="Times New Roman" w:hAnsi="Times New Roman" w:cs="Times New Roman"/>
          <w:color w:val="222222"/>
          <w:sz w:val="24"/>
          <w:szCs w:val="24"/>
          <w:shd w:val="clear" w:color="auto" w:fill="FFFFFF"/>
        </w:rPr>
        <w:t>.</w:t>
      </w:r>
      <w:r w:rsidRPr="00BD0274">
        <w:rPr>
          <w:rFonts w:ascii="Times New Roman" w:hAnsi="Times New Roman" w:cs="Times New Roman"/>
          <w:color w:val="222222"/>
          <w:sz w:val="24"/>
          <w:szCs w:val="24"/>
          <w:shd w:val="clear" w:color="auto" w:fill="FFFFFF"/>
        </w:rPr>
        <w:t xml:space="preserve"> L</w:t>
      </w:r>
      <w:r w:rsidR="00BD0274" w:rsidRPr="00BD0274">
        <w:rPr>
          <w:rFonts w:ascii="Times New Roman" w:hAnsi="Times New Roman" w:cs="Times New Roman"/>
          <w:color w:val="222222"/>
          <w:sz w:val="24"/>
          <w:szCs w:val="24"/>
          <w:shd w:val="clear" w:color="auto" w:fill="FFFFFF"/>
        </w:rPr>
        <w:t>.</w:t>
      </w:r>
      <w:r w:rsidRPr="00BD0274">
        <w:rPr>
          <w:rFonts w:ascii="Times New Roman" w:hAnsi="Times New Roman" w:cs="Times New Roman"/>
          <w:color w:val="222222"/>
          <w:sz w:val="24"/>
          <w:szCs w:val="24"/>
          <w:shd w:val="clear" w:color="auto" w:fill="FFFFFF"/>
        </w:rPr>
        <w:t xml:space="preserve"> Decomposição hierárquica da desigualdade de renda Brasileira.</w:t>
      </w:r>
      <w:r w:rsidRPr="00BD0274">
        <w:rPr>
          <w:rStyle w:val="apple-converted-space"/>
          <w:rFonts w:ascii="Times New Roman" w:hAnsi="Times New Roman" w:cs="Times New Roman"/>
          <w:color w:val="222222"/>
          <w:sz w:val="24"/>
          <w:szCs w:val="24"/>
          <w:shd w:val="clear" w:color="auto" w:fill="FFFFFF"/>
        </w:rPr>
        <w:t> </w:t>
      </w:r>
      <w:r w:rsidR="00BD0274" w:rsidRPr="00BD0274">
        <w:rPr>
          <w:rFonts w:ascii="Times New Roman" w:hAnsi="Times New Roman" w:cs="Times New Roman"/>
          <w:color w:val="000000"/>
          <w:sz w:val="24"/>
          <w:szCs w:val="24"/>
        </w:rPr>
        <w:t xml:space="preserve">In: </w:t>
      </w:r>
      <w:r w:rsidR="00BD0274" w:rsidRPr="00BD0274">
        <w:rPr>
          <w:rFonts w:ascii="Times New Roman" w:hAnsi="Times New Roman" w:cs="Times New Roman"/>
          <w:b/>
          <w:color w:val="000000"/>
          <w:sz w:val="24"/>
          <w:szCs w:val="24"/>
        </w:rPr>
        <w:t>Anais...</w:t>
      </w:r>
      <w:r w:rsidR="00BD0274" w:rsidRPr="00BD0274">
        <w:rPr>
          <w:rFonts w:ascii="Times New Roman" w:hAnsi="Times New Roman" w:cs="Times New Roman"/>
          <w:color w:val="000000"/>
          <w:sz w:val="24"/>
          <w:szCs w:val="24"/>
        </w:rPr>
        <w:t xml:space="preserve"> do </w:t>
      </w:r>
      <w:r w:rsidRPr="00BD0274">
        <w:rPr>
          <w:rFonts w:ascii="Times New Roman" w:hAnsi="Times New Roman" w:cs="Times New Roman"/>
          <w:bCs/>
          <w:color w:val="222222"/>
          <w:sz w:val="24"/>
          <w:szCs w:val="24"/>
          <w:shd w:val="clear" w:color="auto" w:fill="FFFFFF"/>
        </w:rPr>
        <w:t>XXXVI Encontro Nacional de Economia, ANPEC–Associação Nacional dos Centros de Pós-Graduação em Economia</w:t>
      </w:r>
      <w:r w:rsidRPr="00BD0274">
        <w:rPr>
          <w:rFonts w:ascii="Times New Roman" w:hAnsi="Times New Roman" w:cs="Times New Roman"/>
          <w:color w:val="222222"/>
          <w:sz w:val="24"/>
          <w:szCs w:val="24"/>
          <w:shd w:val="clear" w:color="auto" w:fill="FFFFFF"/>
        </w:rPr>
        <w:t>, 2008.</w:t>
      </w:r>
    </w:p>
    <w:p w:rsidR="00AF7584" w:rsidRPr="00AF7584" w:rsidRDefault="00AF7584" w:rsidP="00B550B7">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SANTOS, P. D. A.; VASCONCELOS, K. S. L.; TORRES, M. M.; ROCHA, R. M. Análise da desigualdade de renda em Pernambuco: situação do domicilio, gênero, aspectos educacionais e setores de atividade a partir do Theil-T</w:t>
      </w:r>
      <w:r w:rsidRPr="00AF7584">
        <w:rPr>
          <w:rFonts w:ascii="Times New Roman" w:hAnsi="Times New Roman" w:cs="Times New Roman"/>
          <w:b/>
          <w:color w:val="222222"/>
          <w:sz w:val="24"/>
          <w:szCs w:val="24"/>
          <w:shd w:val="clear" w:color="auto" w:fill="FFFFFF"/>
        </w:rPr>
        <w:t xml:space="preserve">. </w:t>
      </w:r>
      <w:r w:rsidRPr="00AF7584">
        <w:rPr>
          <w:rFonts w:ascii="Times New Roman" w:hAnsi="Times New Roman" w:cs="Times New Roman"/>
          <w:b/>
          <w:color w:val="000000"/>
          <w:sz w:val="24"/>
          <w:szCs w:val="24"/>
        </w:rPr>
        <w:t>Bahia análise e dados</w:t>
      </w:r>
      <w:r w:rsidRPr="00AF7584">
        <w:rPr>
          <w:rFonts w:ascii="Times New Roman" w:hAnsi="Times New Roman" w:cs="Times New Roman"/>
          <w:color w:val="000000"/>
          <w:sz w:val="24"/>
          <w:szCs w:val="24"/>
        </w:rPr>
        <w:t>, Salvador, v. 25, n. 1, p.171-185, jan./mar. 2015</w:t>
      </w:r>
      <w:r>
        <w:rPr>
          <w:rFonts w:ascii="Times New Roman" w:hAnsi="Times New Roman" w:cs="Times New Roman"/>
          <w:color w:val="000000"/>
          <w:sz w:val="24"/>
          <w:szCs w:val="24"/>
        </w:rPr>
        <w:t>.</w:t>
      </w:r>
    </w:p>
    <w:p w:rsidR="009F1AD3" w:rsidRDefault="009F1AD3" w:rsidP="00B550B7">
      <w:pPr>
        <w:spacing w:line="240" w:lineRule="auto"/>
        <w:jc w:val="both"/>
        <w:rPr>
          <w:rFonts w:ascii="Times New Roman" w:hAnsi="Times New Roman" w:cs="Times New Roman"/>
          <w:color w:val="222222"/>
          <w:sz w:val="24"/>
          <w:szCs w:val="24"/>
          <w:shd w:val="clear" w:color="auto" w:fill="FFFFFF"/>
        </w:rPr>
      </w:pPr>
      <w:r w:rsidRPr="009F1AD3">
        <w:rPr>
          <w:rFonts w:ascii="Times New Roman" w:hAnsi="Times New Roman" w:cs="Times New Roman"/>
          <w:color w:val="222222"/>
          <w:sz w:val="24"/>
          <w:szCs w:val="24"/>
          <w:shd w:val="clear" w:color="auto" w:fill="FFFFFF"/>
        </w:rPr>
        <w:t>SILVA, F</w:t>
      </w:r>
      <w:r w:rsidR="0016330C">
        <w:rPr>
          <w:rFonts w:ascii="Times New Roman" w:hAnsi="Times New Roman" w:cs="Times New Roman"/>
          <w:color w:val="222222"/>
          <w:sz w:val="24"/>
          <w:szCs w:val="24"/>
          <w:shd w:val="clear" w:color="auto" w:fill="FFFFFF"/>
        </w:rPr>
        <w:t>.</w:t>
      </w:r>
      <w:r w:rsidRPr="009F1AD3">
        <w:rPr>
          <w:rFonts w:ascii="Times New Roman" w:hAnsi="Times New Roman" w:cs="Times New Roman"/>
          <w:color w:val="222222"/>
          <w:sz w:val="24"/>
          <w:szCs w:val="24"/>
          <w:shd w:val="clear" w:color="auto" w:fill="FFFFFF"/>
        </w:rPr>
        <w:t xml:space="preserve"> J</w:t>
      </w:r>
      <w:r w:rsidR="0016330C">
        <w:rPr>
          <w:rFonts w:ascii="Times New Roman" w:hAnsi="Times New Roman" w:cs="Times New Roman"/>
          <w:color w:val="222222"/>
          <w:sz w:val="24"/>
          <w:szCs w:val="24"/>
          <w:shd w:val="clear" w:color="auto" w:fill="FFFFFF"/>
        </w:rPr>
        <w:t>.</w:t>
      </w:r>
      <w:r w:rsidRPr="009F1AD3">
        <w:rPr>
          <w:rFonts w:ascii="Times New Roman" w:hAnsi="Times New Roman" w:cs="Times New Roman"/>
          <w:color w:val="222222"/>
          <w:sz w:val="24"/>
          <w:szCs w:val="24"/>
          <w:shd w:val="clear" w:color="auto" w:fill="FFFFFF"/>
        </w:rPr>
        <w:t xml:space="preserve"> F</w:t>
      </w:r>
      <w:r w:rsidR="0016330C">
        <w:rPr>
          <w:rFonts w:ascii="Times New Roman" w:hAnsi="Times New Roman" w:cs="Times New Roman"/>
          <w:color w:val="222222"/>
          <w:sz w:val="24"/>
          <w:szCs w:val="24"/>
          <w:shd w:val="clear" w:color="auto" w:fill="FFFFFF"/>
        </w:rPr>
        <w:t>.</w:t>
      </w:r>
      <w:r w:rsidRPr="009F1AD3">
        <w:rPr>
          <w:rFonts w:ascii="Times New Roman" w:hAnsi="Times New Roman" w:cs="Times New Roman"/>
          <w:color w:val="222222"/>
          <w:sz w:val="24"/>
          <w:szCs w:val="24"/>
          <w:shd w:val="clear" w:color="auto" w:fill="FFFFFF"/>
        </w:rPr>
        <w:t xml:space="preserve">; </w:t>
      </w:r>
      <w:r w:rsidR="0016330C">
        <w:rPr>
          <w:rFonts w:ascii="Times New Roman" w:hAnsi="Times New Roman" w:cs="Times New Roman"/>
          <w:color w:val="222222"/>
          <w:sz w:val="24"/>
          <w:szCs w:val="24"/>
          <w:shd w:val="clear" w:color="auto" w:fill="FFFFFF"/>
        </w:rPr>
        <w:t xml:space="preserve">FONSECA </w:t>
      </w:r>
      <w:r w:rsidRPr="009F1AD3">
        <w:rPr>
          <w:rFonts w:ascii="Times New Roman" w:hAnsi="Times New Roman" w:cs="Times New Roman"/>
          <w:color w:val="222222"/>
          <w:sz w:val="24"/>
          <w:szCs w:val="24"/>
          <w:shd w:val="clear" w:color="auto" w:fill="FFFFFF"/>
        </w:rPr>
        <w:t>NETO, F</w:t>
      </w:r>
      <w:r w:rsidR="0016330C">
        <w:rPr>
          <w:rFonts w:ascii="Times New Roman" w:hAnsi="Times New Roman" w:cs="Times New Roman"/>
          <w:color w:val="222222"/>
          <w:sz w:val="24"/>
          <w:szCs w:val="24"/>
          <w:shd w:val="clear" w:color="auto" w:fill="FFFFFF"/>
        </w:rPr>
        <w:t xml:space="preserve">. </w:t>
      </w:r>
      <w:r w:rsidRPr="009F1AD3">
        <w:rPr>
          <w:rFonts w:ascii="Times New Roman" w:hAnsi="Times New Roman" w:cs="Times New Roman"/>
          <w:color w:val="222222"/>
          <w:sz w:val="24"/>
          <w:szCs w:val="24"/>
          <w:shd w:val="clear" w:color="auto" w:fill="FFFFFF"/>
        </w:rPr>
        <w:t>A</w:t>
      </w:r>
      <w:r w:rsidR="0016330C">
        <w:rPr>
          <w:rFonts w:ascii="Times New Roman" w:hAnsi="Times New Roman" w:cs="Times New Roman"/>
          <w:color w:val="222222"/>
          <w:sz w:val="24"/>
          <w:szCs w:val="24"/>
          <w:shd w:val="clear" w:color="auto" w:fill="FFFFFF"/>
        </w:rPr>
        <w:t>.</w:t>
      </w:r>
      <w:r w:rsidRPr="009F1AD3">
        <w:rPr>
          <w:rFonts w:ascii="Times New Roman" w:hAnsi="Times New Roman" w:cs="Times New Roman"/>
          <w:color w:val="222222"/>
          <w:sz w:val="24"/>
          <w:szCs w:val="24"/>
          <w:shd w:val="clear" w:color="auto" w:fill="FFFFFF"/>
        </w:rPr>
        <w:t xml:space="preserve"> Distribuição geográfica do PIB </w:t>
      </w:r>
      <w:r w:rsidRPr="0016330C">
        <w:rPr>
          <w:rFonts w:ascii="Times New Roman" w:hAnsi="Times New Roman" w:cs="Times New Roman"/>
          <w:i/>
          <w:color w:val="222222"/>
          <w:sz w:val="24"/>
          <w:szCs w:val="24"/>
          <w:shd w:val="clear" w:color="auto" w:fill="FFFFFF"/>
        </w:rPr>
        <w:t>per capita</w:t>
      </w:r>
      <w:r w:rsidR="0016330C">
        <w:rPr>
          <w:rFonts w:ascii="Times New Roman" w:hAnsi="Times New Roman" w:cs="Times New Roman"/>
          <w:color w:val="222222"/>
          <w:sz w:val="24"/>
          <w:szCs w:val="24"/>
          <w:shd w:val="clear" w:color="auto" w:fill="FFFFFF"/>
        </w:rPr>
        <w:t>.</w:t>
      </w:r>
      <w:r w:rsidRPr="009F1AD3">
        <w:rPr>
          <w:rStyle w:val="apple-converted-space"/>
          <w:rFonts w:ascii="Times New Roman" w:hAnsi="Times New Roman" w:cs="Times New Roman"/>
          <w:color w:val="222222"/>
          <w:sz w:val="24"/>
          <w:szCs w:val="24"/>
          <w:shd w:val="clear" w:color="auto" w:fill="FFFFFF"/>
        </w:rPr>
        <w:t> </w:t>
      </w:r>
      <w:r w:rsidRPr="009F1AD3">
        <w:rPr>
          <w:rFonts w:ascii="Times New Roman" w:hAnsi="Times New Roman" w:cs="Times New Roman"/>
          <w:b/>
          <w:bCs/>
          <w:color w:val="222222"/>
          <w:sz w:val="24"/>
          <w:szCs w:val="24"/>
          <w:shd w:val="clear" w:color="auto" w:fill="FFFFFF"/>
        </w:rPr>
        <w:t>Revista Economia &amp; Tecnologia</w:t>
      </w:r>
      <w:r w:rsidR="0016330C">
        <w:rPr>
          <w:rFonts w:ascii="Times New Roman" w:hAnsi="Times New Roman" w:cs="Times New Roman"/>
          <w:b/>
          <w:bCs/>
          <w:color w:val="222222"/>
          <w:sz w:val="24"/>
          <w:szCs w:val="24"/>
          <w:shd w:val="clear" w:color="auto" w:fill="FFFFFF"/>
        </w:rPr>
        <w:t xml:space="preserve"> (RET)</w:t>
      </w:r>
      <w:r w:rsidRPr="009F1AD3">
        <w:rPr>
          <w:rFonts w:ascii="Times New Roman" w:hAnsi="Times New Roman" w:cs="Times New Roman"/>
          <w:color w:val="222222"/>
          <w:sz w:val="24"/>
          <w:szCs w:val="24"/>
          <w:shd w:val="clear" w:color="auto" w:fill="FFFFFF"/>
        </w:rPr>
        <w:t xml:space="preserve">, v. 8, n. 1. </w:t>
      </w:r>
      <w:r w:rsidR="0016330C">
        <w:rPr>
          <w:rFonts w:ascii="Times New Roman" w:hAnsi="Times New Roman" w:cs="Times New Roman"/>
          <w:color w:val="222222"/>
          <w:sz w:val="24"/>
          <w:szCs w:val="24"/>
          <w:shd w:val="clear" w:color="auto" w:fill="FFFFFF"/>
        </w:rPr>
        <w:t xml:space="preserve">p. 19-34, Jan/Mar, </w:t>
      </w:r>
      <w:r w:rsidRPr="009F1AD3">
        <w:rPr>
          <w:rFonts w:ascii="Times New Roman" w:hAnsi="Times New Roman" w:cs="Times New Roman"/>
          <w:color w:val="222222"/>
          <w:sz w:val="24"/>
          <w:szCs w:val="24"/>
          <w:shd w:val="clear" w:color="auto" w:fill="FFFFFF"/>
        </w:rPr>
        <w:t>2012.</w:t>
      </w:r>
    </w:p>
    <w:p w:rsidR="00DB30E0" w:rsidRPr="00CD1155" w:rsidRDefault="00DB30E0" w:rsidP="00B550B7">
      <w:pPr>
        <w:spacing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SILVA JÚNIOR, L. H.; SOBRAL, E. F. M.; SANTANA, O. M. S. </w:t>
      </w:r>
      <w:r w:rsidR="00CD1155">
        <w:rPr>
          <w:rFonts w:ascii="Times New Roman" w:hAnsi="Times New Roman" w:cs="Times New Roman"/>
          <w:color w:val="222222"/>
          <w:sz w:val="24"/>
          <w:szCs w:val="24"/>
          <w:shd w:val="clear" w:color="auto" w:fill="FFFFFF"/>
        </w:rPr>
        <w:t xml:space="preserve">Notas sobre a infraestrutura social e econômica do Agreste Pernambucano. </w:t>
      </w:r>
      <w:r w:rsidR="00CD1155" w:rsidRPr="00CD1155">
        <w:rPr>
          <w:rFonts w:ascii="Times New Roman" w:hAnsi="Times New Roman" w:cs="Times New Roman"/>
          <w:b/>
          <w:color w:val="000000"/>
          <w:sz w:val="24"/>
          <w:szCs w:val="24"/>
        </w:rPr>
        <w:t>Economia e Desenvolvimento</w:t>
      </w:r>
      <w:r w:rsidR="00CD1155" w:rsidRPr="00CD1155">
        <w:rPr>
          <w:rFonts w:ascii="Times New Roman" w:hAnsi="Times New Roman" w:cs="Times New Roman"/>
          <w:color w:val="000000"/>
          <w:sz w:val="24"/>
          <w:szCs w:val="24"/>
        </w:rPr>
        <w:t>, Recife (PE), v. 11, nº 1,</w:t>
      </w:r>
      <w:r w:rsidR="00CD1155">
        <w:rPr>
          <w:rFonts w:ascii="Times New Roman" w:hAnsi="Times New Roman" w:cs="Times New Roman"/>
          <w:color w:val="000000"/>
          <w:sz w:val="24"/>
          <w:szCs w:val="24"/>
        </w:rPr>
        <w:t xml:space="preserve"> p. 108-136,</w:t>
      </w:r>
      <w:r w:rsidR="00CD1155" w:rsidRPr="00CD1155">
        <w:rPr>
          <w:rFonts w:ascii="Times New Roman" w:hAnsi="Times New Roman" w:cs="Times New Roman"/>
          <w:color w:val="000000"/>
          <w:sz w:val="24"/>
          <w:szCs w:val="24"/>
        </w:rPr>
        <w:t xml:space="preserve"> 2012</w:t>
      </w:r>
      <w:r w:rsidR="00CD1155">
        <w:rPr>
          <w:rFonts w:ascii="Times New Roman" w:hAnsi="Times New Roman" w:cs="Times New Roman"/>
          <w:color w:val="000000"/>
          <w:sz w:val="24"/>
          <w:szCs w:val="24"/>
        </w:rPr>
        <w:t>.</w:t>
      </w:r>
    </w:p>
    <w:p w:rsidR="00117ACF" w:rsidRPr="00005521" w:rsidRDefault="00005521" w:rsidP="00B550B7">
      <w:pPr>
        <w:spacing w:line="240" w:lineRule="auto"/>
        <w:jc w:val="both"/>
        <w:rPr>
          <w:rFonts w:ascii="Times New Roman" w:hAnsi="Times New Roman" w:cs="Times New Roman"/>
          <w:color w:val="222222"/>
          <w:sz w:val="24"/>
          <w:szCs w:val="24"/>
          <w:shd w:val="clear" w:color="auto" w:fill="FFFFFF"/>
        </w:rPr>
      </w:pPr>
      <w:r w:rsidRPr="00005521">
        <w:rPr>
          <w:rFonts w:ascii="Times New Roman" w:hAnsi="Times New Roman" w:cs="Times New Roman"/>
          <w:color w:val="000000"/>
          <w:sz w:val="24"/>
          <w:szCs w:val="24"/>
        </w:rPr>
        <w:t>SIQUEIRA, M</w:t>
      </w:r>
      <w:r>
        <w:rPr>
          <w:rFonts w:ascii="Times New Roman" w:hAnsi="Times New Roman" w:cs="Times New Roman"/>
          <w:color w:val="000000"/>
          <w:sz w:val="24"/>
          <w:szCs w:val="24"/>
        </w:rPr>
        <w:t xml:space="preserve">. </w:t>
      </w:r>
      <w:r w:rsidRPr="00005521">
        <w:rPr>
          <w:rFonts w:ascii="Times New Roman" w:hAnsi="Times New Roman" w:cs="Times New Roman"/>
          <w:color w:val="000000"/>
          <w:sz w:val="24"/>
          <w:szCs w:val="24"/>
        </w:rPr>
        <w:t>L</w:t>
      </w:r>
      <w:r>
        <w:rPr>
          <w:rFonts w:ascii="Times New Roman" w:hAnsi="Times New Roman" w:cs="Times New Roman"/>
          <w:color w:val="000000"/>
          <w:sz w:val="24"/>
          <w:szCs w:val="24"/>
        </w:rPr>
        <w:t>.</w:t>
      </w:r>
      <w:r w:rsidRPr="00005521">
        <w:rPr>
          <w:rFonts w:ascii="Times New Roman" w:hAnsi="Times New Roman" w:cs="Times New Roman"/>
          <w:color w:val="000000"/>
          <w:sz w:val="24"/>
          <w:szCs w:val="24"/>
        </w:rPr>
        <w:t>; Siqueira, M</w:t>
      </w:r>
      <w:r>
        <w:rPr>
          <w:rFonts w:ascii="Times New Roman" w:hAnsi="Times New Roman" w:cs="Times New Roman"/>
          <w:color w:val="000000"/>
          <w:sz w:val="24"/>
          <w:szCs w:val="24"/>
        </w:rPr>
        <w:t xml:space="preserve">. </w:t>
      </w:r>
      <w:r w:rsidRPr="00005521">
        <w:rPr>
          <w:rFonts w:ascii="Times New Roman" w:hAnsi="Times New Roman" w:cs="Times New Roman"/>
          <w:color w:val="000000"/>
          <w:sz w:val="24"/>
          <w:szCs w:val="24"/>
        </w:rPr>
        <w:t>L</w:t>
      </w:r>
      <w:r>
        <w:rPr>
          <w:rFonts w:ascii="Times New Roman" w:hAnsi="Times New Roman" w:cs="Times New Roman"/>
          <w:color w:val="000000"/>
          <w:sz w:val="24"/>
          <w:szCs w:val="24"/>
        </w:rPr>
        <w:t>.</w:t>
      </w:r>
      <w:r w:rsidRPr="00005521">
        <w:rPr>
          <w:rFonts w:ascii="Times New Roman" w:hAnsi="Times New Roman" w:cs="Times New Roman"/>
          <w:color w:val="000000"/>
          <w:sz w:val="24"/>
          <w:szCs w:val="24"/>
        </w:rPr>
        <w:t xml:space="preserve"> De</w:t>
      </w:r>
      <w:r>
        <w:rPr>
          <w:rFonts w:ascii="Times New Roman" w:hAnsi="Times New Roman" w:cs="Times New Roman"/>
          <w:color w:val="000000"/>
          <w:sz w:val="24"/>
          <w:szCs w:val="24"/>
        </w:rPr>
        <w:t xml:space="preserve">sigualdade de renda no Nordeste brasileiro: </w:t>
      </w:r>
      <w:r w:rsidRPr="00005521">
        <w:rPr>
          <w:rFonts w:ascii="Times New Roman" w:hAnsi="Times New Roman" w:cs="Times New Roman"/>
          <w:color w:val="000000"/>
          <w:sz w:val="24"/>
          <w:szCs w:val="24"/>
        </w:rPr>
        <w:t xml:space="preserve">Uma análise de decomposição. </w:t>
      </w:r>
      <w:r w:rsidR="000F70B0">
        <w:rPr>
          <w:rFonts w:ascii="Times New Roman" w:hAnsi="Times New Roman" w:cs="Times New Roman"/>
          <w:color w:val="000000"/>
          <w:sz w:val="24"/>
          <w:szCs w:val="24"/>
        </w:rPr>
        <w:t xml:space="preserve">In: </w:t>
      </w:r>
      <w:r w:rsidR="000F70B0" w:rsidRPr="008D686C">
        <w:rPr>
          <w:rFonts w:ascii="Times New Roman" w:hAnsi="Times New Roman" w:cs="Times New Roman"/>
          <w:b/>
          <w:color w:val="000000"/>
          <w:sz w:val="24"/>
          <w:szCs w:val="24"/>
        </w:rPr>
        <w:t>Anais</w:t>
      </w:r>
      <w:r w:rsidR="008D686C" w:rsidRPr="008D686C">
        <w:rPr>
          <w:rFonts w:ascii="Times New Roman" w:hAnsi="Times New Roman" w:cs="Times New Roman"/>
          <w:b/>
          <w:color w:val="000000"/>
          <w:sz w:val="24"/>
          <w:szCs w:val="24"/>
        </w:rPr>
        <w:t>...</w:t>
      </w:r>
      <w:r w:rsidR="008D686C">
        <w:rPr>
          <w:rFonts w:ascii="Times New Roman" w:hAnsi="Times New Roman" w:cs="Times New Roman"/>
          <w:color w:val="000000"/>
          <w:sz w:val="24"/>
          <w:szCs w:val="24"/>
        </w:rPr>
        <w:t xml:space="preserve"> do </w:t>
      </w:r>
      <w:r w:rsidRPr="008D686C">
        <w:rPr>
          <w:rFonts w:ascii="Times New Roman" w:hAnsi="Times New Roman" w:cs="Times New Roman"/>
          <w:bCs/>
          <w:color w:val="000000"/>
          <w:sz w:val="24"/>
          <w:szCs w:val="24"/>
        </w:rPr>
        <w:t>XI Encontro Regional de Economia</w:t>
      </w:r>
      <w:r w:rsidRPr="00005521">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 ANPEC/Banco do Nordeste. </w:t>
      </w:r>
      <w:r w:rsidRPr="00005521">
        <w:rPr>
          <w:rFonts w:ascii="Times New Roman" w:hAnsi="Times New Roman" w:cs="Times New Roman"/>
          <w:color w:val="000000"/>
          <w:sz w:val="24"/>
          <w:szCs w:val="24"/>
        </w:rPr>
        <w:t>Maio 2006.</w:t>
      </w:r>
    </w:p>
    <w:p w:rsidR="001D3B08" w:rsidRPr="00DD6F84" w:rsidRDefault="009F1AD3" w:rsidP="00B550B7">
      <w:pPr>
        <w:spacing w:line="240" w:lineRule="auto"/>
        <w:jc w:val="both"/>
        <w:rPr>
          <w:rFonts w:ascii="Times New Roman" w:hAnsi="Times New Roman" w:cs="Times New Roman"/>
          <w:color w:val="000000" w:themeColor="text1"/>
          <w:sz w:val="24"/>
          <w:szCs w:val="24"/>
          <w:u w:val="single"/>
        </w:rPr>
      </w:pPr>
      <w:r w:rsidRPr="009F1AD3">
        <w:rPr>
          <w:rFonts w:ascii="Times New Roman" w:hAnsi="Times New Roman" w:cs="Times New Roman"/>
          <w:color w:val="222222"/>
          <w:sz w:val="24"/>
          <w:szCs w:val="24"/>
          <w:shd w:val="clear" w:color="auto" w:fill="FFFFFF"/>
        </w:rPr>
        <w:t>SOARES, W</w:t>
      </w:r>
      <w:r w:rsidR="007B732F">
        <w:rPr>
          <w:rFonts w:ascii="Times New Roman" w:hAnsi="Times New Roman" w:cs="Times New Roman"/>
          <w:color w:val="222222"/>
          <w:sz w:val="24"/>
          <w:szCs w:val="24"/>
          <w:shd w:val="clear" w:color="auto" w:fill="FFFFFF"/>
        </w:rPr>
        <w:t xml:space="preserve">. </w:t>
      </w:r>
      <w:r w:rsidRPr="009F1AD3">
        <w:rPr>
          <w:rFonts w:ascii="Times New Roman" w:hAnsi="Times New Roman" w:cs="Times New Roman"/>
          <w:color w:val="222222"/>
          <w:sz w:val="24"/>
          <w:szCs w:val="24"/>
          <w:shd w:val="clear" w:color="auto" w:fill="FFFFFF"/>
        </w:rPr>
        <w:t>R</w:t>
      </w:r>
      <w:r w:rsidR="007B732F">
        <w:rPr>
          <w:rFonts w:ascii="Times New Roman" w:hAnsi="Times New Roman" w:cs="Times New Roman"/>
          <w:color w:val="222222"/>
          <w:sz w:val="24"/>
          <w:szCs w:val="24"/>
          <w:shd w:val="clear" w:color="auto" w:fill="FFFFFF"/>
        </w:rPr>
        <w:t>.</w:t>
      </w:r>
      <w:r w:rsidRPr="009F1AD3">
        <w:rPr>
          <w:rFonts w:ascii="Times New Roman" w:hAnsi="Times New Roman" w:cs="Times New Roman"/>
          <w:color w:val="222222"/>
          <w:sz w:val="24"/>
          <w:szCs w:val="24"/>
          <w:shd w:val="clear" w:color="auto" w:fill="FFFFFF"/>
        </w:rPr>
        <w:t xml:space="preserve"> </w:t>
      </w:r>
      <w:r w:rsidR="007B732F" w:rsidRPr="009F1AD3">
        <w:rPr>
          <w:rFonts w:ascii="Times New Roman" w:hAnsi="Times New Roman" w:cs="Times New Roman"/>
          <w:color w:val="222222"/>
          <w:sz w:val="24"/>
          <w:szCs w:val="24"/>
          <w:shd w:val="clear" w:color="auto" w:fill="FFFFFF"/>
        </w:rPr>
        <w:t>Desigualdade</w:t>
      </w:r>
      <w:r w:rsidR="007B732F">
        <w:rPr>
          <w:rFonts w:ascii="Times New Roman" w:hAnsi="Times New Roman" w:cs="Times New Roman"/>
          <w:color w:val="222222"/>
          <w:sz w:val="24"/>
          <w:szCs w:val="24"/>
          <w:shd w:val="clear" w:color="auto" w:fill="FFFFFF"/>
        </w:rPr>
        <w:t xml:space="preserve"> de renda no emprego formal no B</w:t>
      </w:r>
      <w:r w:rsidR="007B732F" w:rsidRPr="009F1AD3">
        <w:rPr>
          <w:rFonts w:ascii="Times New Roman" w:hAnsi="Times New Roman" w:cs="Times New Roman"/>
          <w:color w:val="222222"/>
          <w:sz w:val="24"/>
          <w:szCs w:val="24"/>
          <w:shd w:val="clear" w:color="auto" w:fill="FFFFFF"/>
        </w:rPr>
        <w:t>rasil: uma análise de decomposição para a década de 90</w:t>
      </w:r>
      <w:r w:rsidRPr="009F1AD3">
        <w:rPr>
          <w:rFonts w:ascii="Times New Roman" w:hAnsi="Times New Roman" w:cs="Times New Roman"/>
          <w:color w:val="222222"/>
          <w:sz w:val="24"/>
          <w:szCs w:val="24"/>
          <w:shd w:val="clear" w:color="auto" w:fill="FFFFFF"/>
        </w:rPr>
        <w:t>.</w:t>
      </w:r>
      <w:r w:rsidRPr="009F1AD3">
        <w:rPr>
          <w:rStyle w:val="apple-converted-space"/>
          <w:rFonts w:ascii="Times New Roman" w:hAnsi="Times New Roman" w:cs="Times New Roman"/>
          <w:color w:val="222222"/>
          <w:sz w:val="24"/>
          <w:szCs w:val="24"/>
          <w:shd w:val="clear" w:color="auto" w:fill="FFFFFF"/>
        </w:rPr>
        <w:t> </w:t>
      </w:r>
      <w:r w:rsidR="007B732F">
        <w:rPr>
          <w:rFonts w:ascii="Times New Roman" w:hAnsi="Times New Roman" w:cs="Times New Roman"/>
          <w:b/>
          <w:bCs/>
          <w:color w:val="222222"/>
          <w:sz w:val="24"/>
          <w:szCs w:val="24"/>
          <w:shd w:val="clear" w:color="auto" w:fill="FFFFFF"/>
        </w:rPr>
        <w:t>Qualit@</w:t>
      </w:r>
      <w:r w:rsidRPr="009F1AD3">
        <w:rPr>
          <w:rFonts w:ascii="Times New Roman" w:hAnsi="Times New Roman" w:cs="Times New Roman"/>
          <w:b/>
          <w:bCs/>
          <w:color w:val="222222"/>
          <w:sz w:val="24"/>
          <w:szCs w:val="24"/>
          <w:shd w:val="clear" w:color="auto" w:fill="FFFFFF"/>
        </w:rPr>
        <w:t>s Revista Eletrônica</w:t>
      </w:r>
      <w:r w:rsidRPr="009F1AD3">
        <w:rPr>
          <w:rFonts w:ascii="Times New Roman" w:hAnsi="Times New Roman" w:cs="Times New Roman"/>
          <w:color w:val="222222"/>
          <w:sz w:val="24"/>
          <w:szCs w:val="24"/>
          <w:shd w:val="clear" w:color="auto" w:fill="FFFFFF"/>
        </w:rPr>
        <w:t>, v. 6, n. 2,</w:t>
      </w:r>
      <w:r w:rsidR="00CB247F">
        <w:rPr>
          <w:rFonts w:ascii="Times New Roman" w:hAnsi="Times New Roman" w:cs="Times New Roman"/>
          <w:color w:val="222222"/>
          <w:sz w:val="24"/>
          <w:szCs w:val="24"/>
          <w:shd w:val="clear" w:color="auto" w:fill="FFFFFF"/>
        </w:rPr>
        <w:t xml:space="preserve"> p. 1-17,</w:t>
      </w:r>
      <w:r w:rsidRPr="009F1AD3">
        <w:rPr>
          <w:rFonts w:ascii="Times New Roman" w:hAnsi="Times New Roman" w:cs="Times New Roman"/>
          <w:color w:val="222222"/>
          <w:sz w:val="24"/>
          <w:szCs w:val="24"/>
          <w:shd w:val="clear" w:color="auto" w:fill="FFFFFF"/>
        </w:rPr>
        <w:t xml:space="preserve"> 2007.</w:t>
      </w:r>
    </w:p>
    <w:p w:rsidR="00F92EF7" w:rsidRPr="005D0167" w:rsidRDefault="00F92EF7" w:rsidP="005D0167">
      <w:pPr>
        <w:spacing w:after="0" w:line="360" w:lineRule="auto"/>
        <w:ind w:firstLine="709"/>
        <w:jc w:val="both"/>
        <w:rPr>
          <w:rStyle w:val="Hyperlink"/>
          <w:rFonts w:ascii="Times New Roman" w:hAnsi="Times New Roman" w:cs="Times New Roman"/>
          <w:color w:val="000000" w:themeColor="text1"/>
          <w:sz w:val="24"/>
          <w:szCs w:val="24"/>
          <w:u w:val="none"/>
        </w:rPr>
      </w:pPr>
    </w:p>
    <w:p w:rsidR="00FA7145" w:rsidRPr="00D60746" w:rsidRDefault="00FA7145" w:rsidP="00215EDB">
      <w:pPr>
        <w:spacing w:after="0" w:line="360" w:lineRule="auto"/>
        <w:jc w:val="both"/>
        <w:rPr>
          <w:rFonts w:ascii="Times New Roman" w:hAnsi="Times New Roman" w:cs="Times New Roman"/>
        </w:rPr>
      </w:pPr>
    </w:p>
    <w:sectPr w:rsidR="00FA7145" w:rsidRPr="00D60746" w:rsidSect="001B6817">
      <w:footerReference w:type="default" r:id="rId2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C2" w:rsidRDefault="00DE3FC2" w:rsidP="00BF5CD1">
      <w:pPr>
        <w:spacing w:after="0" w:line="240" w:lineRule="auto"/>
      </w:pPr>
      <w:r>
        <w:separator/>
      </w:r>
    </w:p>
  </w:endnote>
  <w:endnote w:type="continuationSeparator" w:id="0">
    <w:p w:rsidR="00DE3FC2" w:rsidRDefault="00DE3FC2" w:rsidP="00BF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37641"/>
      <w:docPartObj>
        <w:docPartGallery w:val="Page Numbers (Bottom of Page)"/>
        <w:docPartUnique/>
      </w:docPartObj>
    </w:sdtPr>
    <w:sdtEndPr/>
    <w:sdtContent>
      <w:p w:rsidR="004E67EA" w:rsidRDefault="009C1433">
        <w:pPr>
          <w:pStyle w:val="Rodap"/>
          <w:jc w:val="right"/>
        </w:pPr>
        <w:r>
          <w:fldChar w:fldCharType="begin"/>
        </w:r>
        <w:r>
          <w:instrText xml:space="preserve"> PAGE   \* MERGEFORMAT </w:instrText>
        </w:r>
        <w:r>
          <w:fldChar w:fldCharType="separate"/>
        </w:r>
        <w:r>
          <w:rPr>
            <w:noProof/>
          </w:rPr>
          <w:t>1</w:t>
        </w:r>
        <w:r>
          <w:rPr>
            <w:noProof/>
          </w:rPr>
          <w:fldChar w:fldCharType="end"/>
        </w:r>
      </w:p>
    </w:sdtContent>
  </w:sdt>
  <w:p w:rsidR="004E67EA" w:rsidRDefault="004E67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C2" w:rsidRDefault="00DE3FC2" w:rsidP="00BF5CD1">
      <w:pPr>
        <w:spacing w:after="0" w:line="240" w:lineRule="auto"/>
      </w:pPr>
      <w:r>
        <w:separator/>
      </w:r>
    </w:p>
  </w:footnote>
  <w:footnote w:type="continuationSeparator" w:id="0">
    <w:p w:rsidR="00DE3FC2" w:rsidRDefault="00DE3FC2" w:rsidP="00BF5CD1">
      <w:pPr>
        <w:spacing w:after="0" w:line="240" w:lineRule="auto"/>
      </w:pPr>
      <w:r>
        <w:continuationSeparator/>
      </w:r>
    </w:p>
  </w:footnote>
  <w:footnote w:id="1">
    <w:p w:rsidR="004E67EA" w:rsidRDefault="004E67EA" w:rsidP="00D21A17">
      <w:pPr>
        <w:pStyle w:val="Textodenotaderodap"/>
        <w:jc w:val="both"/>
      </w:pPr>
      <w:r>
        <w:rPr>
          <w:rStyle w:val="Refdenotaderodap"/>
        </w:rPr>
        <w:footnoteRef/>
      </w:r>
      <w:r>
        <w:t xml:space="preserve"> </w:t>
      </w:r>
      <w:r w:rsidRPr="00D21A17">
        <w:rPr>
          <w:rFonts w:ascii="Times New Roman" w:hAnsi="Times New Roman" w:cs="Times New Roman"/>
        </w:rPr>
        <w:t>Usa-se o PIB para verificar se a desigua</w:t>
      </w:r>
      <w:r>
        <w:rPr>
          <w:rFonts w:ascii="Times New Roman" w:hAnsi="Times New Roman" w:cs="Times New Roman"/>
        </w:rPr>
        <w:t>ldade pernambucana e dada por</w:t>
      </w:r>
      <w:r w:rsidRPr="00D21A17">
        <w:rPr>
          <w:rFonts w:ascii="Times New Roman" w:hAnsi="Times New Roman" w:cs="Times New Roman"/>
        </w:rPr>
        <w:t xml:space="preserve"> problema</w:t>
      </w:r>
      <w:r>
        <w:rPr>
          <w:rFonts w:ascii="Times New Roman" w:hAnsi="Times New Roman" w:cs="Times New Roman"/>
        </w:rPr>
        <w:t>s</w:t>
      </w:r>
      <w:r w:rsidRPr="00D21A17">
        <w:rPr>
          <w:rFonts w:ascii="Times New Roman" w:hAnsi="Times New Roman" w:cs="Times New Roman"/>
        </w:rPr>
        <w:t xml:space="preserve"> econômico</w:t>
      </w:r>
      <w:r>
        <w:rPr>
          <w:rFonts w:ascii="Times New Roman" w:hAnsi="Times New Roman" w:cs="Times New Roman"/>
        </w:rPr>
        <w:t>s</w:t>
      </w:r>
      <w:r w:rsidRPr="00D21A17">
        <w:rPr>
          <w:rFonts w:ascii="Times New Roman" w:hAnsi="Times New Roman" w:cs="Times New Roman"/>
        </w:rPr>
        <w:t xml:space="preserve"> existente</w:t>
      </w:r>
      <w:r>
        <w:rPr>
          <w:rFonts w:ascii="Times New Roman" w:hAnsi="Times New Roman" w:cs="Times New Roman"/>
        </w:rPr>
        <w:t>s</w:t>
      </w:r>
      <w:r w:rsidRPr="00D21A17">
        <w:rPr>
          <w:rFonts w:ascii="Times New Roman" w:hAnsi="Times New Roman" w:cs="Times New Roman"/>
        </w:rPr>
        <w:t xml:space="preserve"> na região</w:t>
      </w:r>
    </w:p>
  </w:footnote>
  <w:footnote w:id="2">
    <w:p w:rsidR="004E67EA" w:rsidRDefault="004E67EA" w:rsidP="00D21A17">
      <w:pPr>
        <w:pStyle w:val="Textodenotaderodap"/>
        <w:jc w:val="both"/>
      </w:pPr>
      <w:r>
        <w:rPr>
          <w:rStyle w:val="Refdenotaderodap"/>
        </w:rPr>
        <w:footnoteRef/>
      </w:r>
      <w:r>
        <w:t xml:space="preserve"> </w:t>
      </w:r>
      <w:r w:rsidRPr="00D21A17">
        <w:rPr>
          <w:rFonts w:ascii="Times New Roman" w:hAnsi="Times New Roman" w:cs="Times New Roman"/>
        </w:rPr>
        <w:t>Usa-se a renda média para verificar se a desigualdade existente em Pernambuco é explicada pela desigualdade social</w:t>
      </w:r>
    </w:p>
  </w:footnote>
  <w:footnote w:id="3">
    <w:p w:rsidR="004E67EA" w:rsidRDefault="004E67EA">
      <w:pPr>
        <w:pStyle w:val="Textodenotaderodap"/>
      </w:pPr>
      <w:r>
        <w:rPr>
          <w:rStyle w:val="Refdenotaderodap"/>
        </w:rPr>
        <w:footnoteRef/>
      </w:r>
      <w:r>
        <w:t xml:space="preserve"> </w:t>
      </w:r>
      <w:r w:rsidRPr="00F60448">
        <w:rPr>
          <w:rFonts w:ascii="Times New Roman" w:hAnsi="Times New Roman" w:cs="Times New Roman"/>
        </w:rPr>
        <w:t>Foram usados apenas dados dos três setores ficando de fora a serie Outros que complementa a participação de cem por cento do PIB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966"/>
    <w:multiLevelType w:val="hybridMultilevel"/>
    <w:tmpl w:val="9A820F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0D3746"/>
    <w:multiLevelType w:val="hybridMultilevel"/>
    <w:tmpl w:val="375A0056"/>
    <w:lvl w:ilvl="0" w:tplc="D480D386">
      <w:start w:val="1"/>
      <w:numFmt w:val="lowerRoman"/>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2">
    <w:nsid w:val="5C533760"/>
    <w:multiLevelType w:val="hybridMultilevel"/>
    <w:tmpl w:val="375A0056"/>
    <w:lvl w:ilvl="0" w:tplc="D480D386">
      <w:start w:val="1"/>
      <w:numFmt w:val="lowerRoman"/>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17"/>
    <w:rsid w:val="00000521"/>
    <w:rsid w:val="000020AA"/>
    <w:rsid w:val="000036ED"/>
    <w:rsid w:val="00005521"/>
    <w:rsid w:val="00013EEA"/>
    <w:rsid w:val="000147E6"/>
    <w:rsid w:val="00022810"/>
    <w:rsid w:val="00024C92"/>
    <w:rsid w:val="00025E02"/>
    <w:rsid w:val="00031D74"/>
    <w:rsid w:val="000328BD"/>
    <w:rsid w:val="00035194"/>
    <w:rsid w:val="00035F87"/>
    <w:rsid w:val="0003731D"/>
    <w:rsid w:val="000379F5"/>
    <w:rsid w:val="00040A90"/>
    <w:rsid w:val="00041DBC"/>
    <w:rsid w:val="00042349"/>
    <w:rsid w:val="00043E88"/>
    <w:rsid w:val="000465EE"/>
    <w:rsid w:val="000533EB"/>
    <w:rsid w:val="00053E85"/>
    <w:rsid w:val="000551BD"/>
    <w:rsid w:val="000564D7"/>
    <w:rsid w:val="000611C7"/>
    <w:rsid w:val="00065C5E"/>
    <w:rsid w:val="0006681A"/>
    <w:rsid w:val="00070AFB"/>
    <w:rsid w:val="00070D1E"/>
    <w:rsid w:val="0007427F"/>
    <w:rsid w:val="00074BBA"/>
    <w:rsid w:val="00080A73"/>
    <w:rsid w:val="00082DC0"/>
    <w:rsid w:val="00083105"/>
    <w:rsid w:val="0009239A"/>
    <w:rsid w:val="0009350A"/>
    <w:rsid w:val="00093774"/>
    <w:rsid w:val="00096477"/>
    <w:rsid w:val="000A1FAE"/>
    <w:rsid w:val="000A2C2F"/>
    <w:rsid w:val="000A49A5"/>
    <w:rsid w:val="000A6D64"/>
    <w:rsid w:val="000A74E7"/>
    <w:rsid w:val="000B0E07"/>
    <w:rsid w:val="000B1DA6"/>
    <w:rsid w:val="000B30F0"/>
    <w:rsid w:val="000C06F6"/>
    <w:rsid w:val="000C31CF"/>
    <w:rsid w:val="000C7477"/>
    <w:rsid w:val="000D0DA7"/>
    <w:rsid w:val="000D3B6A"/>
    <w:rsid w:val="000D5155"/>
    <w:rsid w:val="000E18A4"/>
    <w:rsid w:val="000E47F0"/>
    <w:rsid w:val="000E5F22"/>
    <w:rsid w:val="000F1D0A"/>
    <w:rsid w:val="000F3A07"/>
    <w:rsid w:val="000F50B7"/>
    <w:rsid w:val="000F5B4F"/>
    <w:rsid w:val="000F70B0"/>
    <w:rsid w:val="00111AAA"/>
    <w:rsid w:val="001161EE"/>
    <w:rsid w:val="001170E9"/>
    <w:rsid w:val="00117ACF"/>
    <w:rsid w:val="0012133B"/>
    <w:rsid w:val="00122B34"/>
    <w:rsid w:val="00123C56"/>
    <w:rsid w:val="0014191A"/>
    <w:rsid w:val="001435A7"/>
    <w:rsid w:val="00143C5F"/>
    <w:rsid w:val="001514DC"/>
    <w:rsid w:val="00151FDC"/>
    <w:rsid w:val="001606B2"/>
    <w:rsid w:val="00160CCD"/>
    <w:rsid w:val="00161399"/>
    <w:rsid w:val="001621B3"/>
    <w:rsid w:val="0016330C"/>
    <w:rsid w:val="001701AD"/>
    <w:rsid w:val="001740C7"/>
    <w:rsid w:val="00176ED4"/>
    <w:rsid w:val="00177428"/>
    <w:rsid w:val="00192CAF"/>
    <w:rsid w:val="0019578F"/>
    <w:rsid w:val="001A503C"/>
    <w:rsid w:val="001A7BE9"/>
    <w:rsid w:val="001B11FA"/>
    <w:rsid w:val="001B14AF"/>
    <w:rsid w:val="001B2020"/>
    <w:rsid w:val="001B3648"/>
    <w:rsid w:val="001B5FE0"/>
    <w:rsid w:val="001B6817"/>
    <w:rsid w:val="001C4509"/>
    <w:rsid w:val="001C7D92"/>
    <w:rsid w:val="001D0448"/>
    <w:rsid w:val="001D12B7"/>
    <w:rsid w:val="001D3B08"/>
    <w:rsid w:val="001D4296"/>
    <w:rsid w:val="001D576D"/>
    <w:rsid w:val="001E4380"/>
    <w:rsid w:val="001E5F60"/>
    <w:rsid w:val="001F286D"/>
    <w:rsid w:val="002029C4"/>
    <w:rsid w:val="00203D2F"/>
    <w:rsid w:val="00207B50"/>
    <w:rsid w:val="00215A6D"/>
    <w:rsid w:val="00215EDB"/>
    <w:rsid w:val="00220C19"/>
    <w:rsid w:val="00222DBC"/>
    <w:rsid w:val="0022418C"/>
    <w:rsid w:val="002250F7"/>
    <w:rsid w:val="00226CA2"/>
    <w:rsid w:val="00227520"/>
    <w:rsid w:val="00230837"/>
    <w:rsid w:val="00231F0A"/>
    <w:rsid w:val="00233BDA"/>
    <w:rsid w:val="0023465F"/>
    <w:rsid w:val="002376F6"/>
    <w:rsid w:val="002452B4"/>
    <w:rsid w:val="002522E9"/>
    <w:rsid w:val="0025238D"/>
    <w:rsid w:val="00255DCF"/>
    <w:rsid w:val="0025651E"/>
    <w:rsid w:val="0026511E"/>
    <w:rsid w:val="002712CE"/>
    <w:rsid w:val="002728DE"/>
    <w:rsid w:val="00275B56"/>
    <w:rsid w:val="00275DF1"/>
    <w:rsid w:val="00277FC8"/>
    <w:rsid w:val="00283386"/>
    <w:rsid w:val="002842D6"/>
    <w:rsid w:val="002902A1"/>
    <w:rsid w:val="00292448"/>
    <w:rsid w:val="00292F17"/>
    <w:rsid w:val="0029742E"/>
    <w:rsid w:val="002A3EDC"/>
    <w:rsid w:val="002A4854"/>
    <w:rsid w:val="002B6C8E"/>
    <w:rsid w:val="002C6C34"/>
    <w:rsid w:val="002D1A79"/>
    <w:rsid w:val="002D2722"/>
    <w:rsid w:val="002D2AB9"/>
    <w:rsid w:val="002D7006"/>
    <w:rsid w:val="002D70C0"/>
    <w:rsid w:val="002E3DFD"/>
    <w:rsid w:val="002E7659"/>
    <w:rsid w:val="002F02B7"/>
    <w:rsid w:val="002F1B37"/>
    <w:rsid w:val="002F2AA7"/>
    <w:rsid w:val="002F5F7A"/>
    <w:rsid w:val="00300615"/>
    <w:rsid w:val="00304825"/>
    <w:rsid w:val="00305B4A"/>
    <w:rsid w:val="00306F99"/>
    <w:rsid w:val="00310DE5"/>
    <w:rsid w:val="00312D8F"/>
    <w:rsid w:val="0031579E"/>
    <w:rsid w:val="00317B0D"/>
    <w:rsid w:val="00320C26"/>
    <w:rsid w:val="00345488"/>
    <w:rsid w:val="0034558A"/>
    <w:rsid w:val="0034678B"/>
    <w:rsid w:val="00350AED"/>
    <w:rsid w:val="00352F79"/>
    <w:rsid w:val="00353CAC"/>
    <w:rsid w:val="00353FAC"/>
    <w:rsid w:val="00365F4A"/>
    <w:rsid w:val="00371372"/>
    <w:rsid w:val="00371BBD"/>
    <w:rsid w:val="00375AEC"/>
    <w:rsid w:val="00377157"/>
    <w:rsid w:val="00381CCE"/>
    <w:rsid w:val="0038507F"/>
    <w:rsid w:val="00391412"/>
    <w:rsid w:val="003A0FF2"/>
    <w:rsid w:val="003A13E8"/>
    <w:rsid w:val="003A5A23"/>
    <w:rsid w:val="003A7D8D"/>
    <w:rsid w:val="003B08B8"/>
    <w:rsid w:val="003B22A9"/>
    <w:rsid w:val="003B2F1E"/>
    <w:rsid w:val="003B3361"/>
    <w:rsid w:val="003B789B"/>
    <w:rsid w:val="003C1089"/>
    <w:rsid w:val="003D4ACE"/>
    <w:rsid w:val="003D6A43"/>
    <w:rsid w:val="003E16AC"/>
    <w:rsid w:val="003E4834"/>
    <w:rsid w:val="003E52C3"/>
    <w:rsid w:val="003F281B"/>
    <w:rsid w:val="003F3723"/>
    <w:rsid w:val="003F4506"/>
    <w:rsid w:val="00402001"/>
    <w:rsid w:val="00412480"/>
    <w:rsid w:val="00412613"/>
    <w:rsid w:val="00413DB4"/>
    <w:rsid w:val="0041658A"/>
    <w:rsid w:val="00416882"/>
    <w:rsid w:val="00416C2F"/>
    <w:rsid w:val="00417751"/>
    <w:rsid w:val="0042141D"/>
    <w:rsid w:val="004219DA"/>
    <w:rsid w:val="00422436"/>
    <w:rsid w:val="004312DA"/>
    <w:rsid w:val="00431520"/>
    <w:rsid w:val="00434F55"/>
    <w:rsid w:val="00435B31"/>
    <w:rsid w:val="004402D8"/>
    <w:rsid w:val="00441304"/>
    <w:rsid w:val="004428DF"/>
    <w:rsid w:val="00445639"/>
    <w:rsid w:val="00445807"/>
    <w:rsid w:val="00447103"/>
    <w:rsid w:val="004471FD"/>
    <w:rsid w:val="00447D95"/>
    <w:rsid w:val="00447F28"/>
    <w:rsid w:val="00450852"/>
    <w:rsid w:val="00451175"/>
    <w:rsid w:val="004513BA"/>
    <w:rsid w:val="00451F81"/>
    <w:rsid w:val="00453407"/>
    <w:rsid w:val="00460991"/>
    <w:rsid w:val="00461BA5"/>
    <w:rsid w:val="00465760"/>
    <w:rsid w:val="00471227"/>
    <w:rsid w:val="0047307C"/>
    <w:rsid w:val="0047429D"/>
    <w:rsid w:val="00483ADC"/>
    <w:rsid w:val="0048410E"/>
    <w:rsid w:val="00484CD4"/>
    <w:rsid w:val="00485976"/>
    <w:rsid w:val="00485B39"/>
    <w:rsid w:val="004874CF"/>
    <w:rsid w:val="0049052D"/>
    <w:rsid w:val="0049084A"/>
    <w:rsid w:val="00491A3D"/>
    <w:rsid w:val="00493638"/>
    <w:rsid w:val="00497AC6"/>
    <w:rsid w:val="004A7A41"/>
    <w:rsid w:val="004B0CCE"/>
    <w:rsid w:val="004B1B70"/>
    <w:rsid w:val="004B4F63"/>
    <w:rsid w:val="004B613A"/>
    <w:rsid w:val="004B6F7B"/>
    <w:rsid w:val="004C3F04"/>
    <w:rsid w:val="004C47E5"/>
    <w:rsid w:val="004C4B1A"/>
    <w:rsid w:val="004D4685"/>
    <w:rsid w:val="004D51EC"/>
    <w:rsid w:val="004E132B"/>
    <w:rsid w:val="004E5733"/>
    <w:rsid w:val="004E67EA"/>
    <w:rsid w:val="004E78DC"/>
    <w:rsid w:val="004F120B"/>
    <w:rsid w:val="004F18FC"/>
    <w:rsid w:val="004F1DF7"/>
    <w:rsid w:val="004F2453"/>
    <w:rsid w:val="004F5F9F"/>
    <w:rsid w:val="004F6BC3"/>
    <w:rsid w:val="004F789C"/>
    <w:rsid w:val="00500999"/>
    <w:rsid w:val="00500ED6"/>
    <w:rsid w:val="00506040"/>
    <w:rsid w:val="005062E1"/>
    <w:rsid w:val="00510111"/>
    <w:rsid w:val="005132E6"/>
    <w:rsid w:val="005136B3"/>
    <w:rsid w:val="0051677B"/>
    <w:rsid w:val="005217EA"/>
    <w:rsid w:val="0052463D"/>
    <w:rsid w:val="005268E7"/>
    <w:rsid w:val="0052719C"/>
    <w:rsid w:val="005302EE"/>
    <w:rsid w:val="00534515"/>
    <w:rsid w:val="00534EC7"/>
    <w:rsid w:val="0053579C"/>
    <w:rsid w:val="0053710A"/>
    <w:rsid w:val="00537264"/>
    <w:rsid w:val="005444D9"/>
    <w:rsid w:val="005457A4"/>
    <w:rsid w:val="00547707"/>
    <w:rsid w:val="00547BFF"/>
    <w:rsid w:val="00551941"/>
    <w:rsid w:val="0055244D"/>
    <w:rsid w:val="00554A27"/>
    <w:rsid w:val="00562A29"/>
    <w:rsid w:val="005631A3"/>
    <w:rsid w:val="00563A7E"/>
    <w:rsid w:val="005672C8"/>
    <w:rsid w:val="00571A2D"/>
    <w:rsid w:val="005729A1"/>
    <w:rsid w:val="00575B55"/>
    <w:rsid w:val="00577E8F"/>
    <w:rsid w:val="00580FB7"/>
    <w:rsid w:val="005812B8"/>
    <w:rsid w:val="005818F6"/>
    <w:rsid w:val="00582859"/>
    <w:rsid w:val="0058331A"/>
    <w:rsid w:val="00583474"/>
    <w:rsid w:val="0059001D"/>
    <w:rsid w:val="00590B33"/>
    <w:rsid w:val="0059285F"/>
    <w:rsid w:val="0059654E"/>
    <w:rsid w:val="00597538"/>
    <w:rsid w:val="00597F1B"/>
    <w:rsid w:val="005B1547"/>
    <w:rsid w:val="005B16C2"/>
    <w:rsid w:val="005B1923"/>
    <w:rsid w:val="005B24C2"/>
    <w:rsid w:val="005B7976"/>
    <w:rsid w:val="005C05FB"/>
    <w:rsid w:val="005C4B77"/>
    <w:rsid w:val="005C59F0"/>
    <w:rsid w:val="005C6F48"/>
    <w:rsid w:val="005D0167"/>
    <w:rsid w:val="005D02EA"/>
    <w:rsid w:val="005D4D65"/>
    <w:rsid w:val="005E0F0C"/>
    <w:rsid w:val="005E1379"/>
    <w:rsid w:val="005E5B97"/>
    <w:rsid w:val="005E66C6"/>
    <w:rsid w:val="005E6E0A"/>
    <w:rsid w:val="005E7216"/>
    <w:rsid w:val="005F3C7A"/>
    <w:rsid w:val="005F4F21"/>
    <w:rsid w:val="005F56A4"/>
    <w:rsid w:val="005F6558"/>
    <w:rsid w:val="00600851"/>
    <w:rsid w:val="00601BE5"/>
    <w:rsid w:val="00601C46"/>
    <w:rsid w:val="00607F12"/>
    <w:rsid w:val="0061447A"/>
    <w:rsid w:val="00615524"/>
    <w:rsid w:val="00624116"/>
    <w:rsid w:val="00624BA8"/>
    <w:rsid w:val="00627428"/>
    <w:rsid w:val="0063193E"/>
    <w:rsid w:val="006353B1"/>
    <w:rsid w:val="00635D0A"/>
    <w:rsid w:val="00640848"/>
    <w:rsid w:val="0064125A"/>
    <w:rsid w:val="00643B9D"/>
    <w:rsid w:val="00644503"/>
    <w:rsid w:val="0064492E"/>
    <w:rsid w:val="00644D74"/>
    <w:rsid w:val="00645B3C"/>
    <w:rsid w:val="00654010"/>
    <w:rsid w:val="0065685A"/>
    <w:rsid w:val="0066512D"/>
    <w:rsid w:val="006665E0"/>
    <w:rsid w:val="0066790A"/>
    <w:rsid w:val="00670619"/>
    <w:rsid w:val="006714A0"/>
    <w:rsid w:val="006765D3"/>
    <w:rsid w:val="00677607"/>
    <w:rsid w:val="00677E6B"/>
    <w:rsid w:val="00680053"/>
    <w:rsid w:val="0068335B"/>
    <w:rsid w:val="00684233"/>
    <w:rsid w:val="00687D96"/>
    <w:rsid w:val="0069150D"/>
    <w:rsid w:val="00694697"/>
    <w:rsid w:val="00696553"/>
    <w:rsid w:val="006A02BF"/>
    <w:rsid w:val="006A4792"/>
    <w:rsid w:val="006A6205"/>
    <w:rsid w:val="006A735C"/>
    <w:rsid w:val="006B13D0"/>
    <w:rsid w:val="006B21BA"/>
    <w:rsid w:val="006B61FE"/>
    <w:rsid w:val="006C1990"/>
    <w:rsid w:val="006C2692"/>
    <w:rsid w:val="006C2F60"/>
    <w:rsid w:val="006C5A7F"/>
    <w:rsid w:val="006C5FAC"/>
    <w:rsid w:val="006D0049"/>
    <w:rsid w:val="006D479D"/>
    <w:rsid w:val="006D5111"/>
    <w:rsid w:val="006E03B8"/>
    <w:rsid w:val="006E14CE"/>
    <w:rsid w:val="006E1E6A"/>
    <w:rsid w:val="006E3BB2"/>
    <w:rsid w:val="006E46E2"/>
    <w:rsid w:val="006E60DA"/>
    <w:rsid w:val="007014E8"/>
    <w:rsid w:val="007053BC"/>
    <w:rsid w:val="00707301"/>
    <w:rsid w:val="00707A06"/>
    <w:rsid w:val="007148B0"/>
    <w:rsid w:val="0071621F"/>
    <w:rsid w:val="007217AC"/>
    <w:rsid w:val="00724C19"/>
    <w:rsid w:val="00727759"/>
    <w:rsid w:val="007315F0"/>
    <w:rsid w:val="0073167D"/>
    <w:rsid w:val="00732D09"/>
    <w:rsid w:val="00733CC6"/>
    <w:rsid w:val="00733FC2"/>
    <w:rsid w:val="0073573D"/>
    <w:rsid w:val="00741466"/>
    <w:rsid w:val="00743567"/>
    <w:rsid w:val="007445BC"/>
    <w:rsid w:val="00745DFE"/>
    <w:rsid w:val="00747781"/>
    <w:rsid w:val="0074799D"/>
    <w:rsid w:val="0075238D"/>
    <w:rsid w:val="00753787"/>
    <w:rsid w:val="00753A61"/>
    <w:rsid w:val="007547F8"/>
    <w:rsid w:val="00755B08"/>
    <w:rsid w:val="00765AB5"/>
    <w:rsid w:val="007661B3"/>
    <w:rsid w:val="00766DDF"/>
    <w:rsid w:val="0077676C"/>
    <w:rsid w:val="007805D1"/>
    <w:rsid w:val="00782215"/>
    <w:rsid w:val="00784130"/>
    <w:rsid w:val="007851ED"/>
    <w:rsid w:val="0078528C"/>
    <w:rsid w:val="00785D32"/>
    <w:rsid w:val="0078662C"/>
    <w:rsid w:val="007A0ED2"/>
    <w:rsid w:val="007A54C3"/>
    <w:rsid w:val="007B0268"/>
    <w:rsid w:val="007B120D"/>
    <w:rsid w:val="007B732F"/>
    <w:rsid w:val="007C07E6"/>
    <w:rsid w:val="007C189E"/>
    <w:rsid w:val="007C22F6"/>
    <w:rsid w:val="007C285A"/>
    <w:rsid w:val="007C323B"/>
    <w:rsid w:val="007D25AD"/>
    <w:rsid w:val="007D337E"/>
    <w:rsid w:val="007D56F1"/>
    <w:rsid w:val="007D70EC"/>
    <w:rsid w:val="007D74C3"/>
    <w:rsid w:val="007D76BE"/>
    <w:rsid w:val="007E02DE"/>
    <w:rsid w:val="007E1AEE"/>
    <w:rsid w:val="007E2451"/>
    <w:rsid w:val="007F491A"/>
    <w:rsid w:val="007F6362"/>
    <w:rsid w:val="007F720F"/>
    <w:rsid w:val="00800156"/>
    <w:rsid w:val="00802004"/>
    <w:rsid w:val="0080290D"/>
    <w:rsid w:val="00802AA2"/>
    <w:rsid w:val="00803A92"/>
    <w:rsid w:val="00810162"/>
    <w:rsid w:val="008112A3"/>
    <w:rsid w:val="00813D63"/>
    <w:rsid w:val="008164B7"/>
    <w:rsid w:val="0081692A"/>
    <w:rsid w:val="0082036B"/>
    <w:rsid w:val="008205EF"/>
    <w:rsid w:val="00821A80"/>
    <w:rsid w:val="008330A0"/>
    <w:rsid w:val="00834206"/>
    <w:rsid w:val="00835918"/>
    <w:rsid w:val="00836248"/>
    <w:rsid w:val="00836612"/>
    <w:rsid w:val="00842783"/>
    <w:rsid w:val="008430CC"/>
    <w:rsid w:val="00844F92"/>
    <w:rsid w:val="008466CA"/>
    <w:rsid w:val="00846725"/>
    <w:rsid w:val="00850988"/>
    <w:rsid w:val="00857D76"/>
    <w:rsid w:val="008609B6"/>
    <w:rsid w:val="00862FD4"/>
    <w:rsid w:val="00870413"/>
    <w:rsid w:val="00876EFB"/>
    <w:rsid w:val="00877DDB"/>
    <w:rsid w:val="00880451"/>
    <w:rsid w:val="008823C4"/>
    <w:rsid w:val="008849BF"/>
    <w:rsid w:val="0088535F"/>
    <w:rsid w:val="00893018"/>
    <w:rsid w:val="008A317D"/>
    <w:rsid w:val="008A50C0"/>
    <w:rsid w:val="008B2569"/>
    <w:rsid w:val="008B2B94"/>
    <w:rsid w:val="008B3A14"/>
    <w:rsid w:val="008B5F64"/>
    <w:rsid w:val="008B695E"/>
    <w:rsid w:val="008B6E4A"/>
    <w:rsid w:val="008B7EE1"/>
    <w:rsid w:val="008C74A9"/>
    <w:rsid w:val="008C78CE"/>
    <w:rsid w:val="008D0DA9"/>
    <w:rsid w:val="008D686C"/>
    <w:rsid w:val="008E2CC6"/>
    <w:rsid w:val="008E2EFF"/>
    <w:rsid w:val="008E30D7"/>
    <w:rsid w:val="008E3A77"/>
    <w:rsid w:val="008E443C"/>
    <w:rsid w:val="008E5368"/>
    <w:rsid w:val="008E66AB"/>
    <w:rsid w:val="008E71CB"/>
    <w:rsid w:val="008E725D"/>
    <w:rsid w:val="008F122D"/>
    <w:rsid w:val="008F229C"/>
    <w:rsid w:val="008F7D04"/>
    <w:rsid w:val="00903A6D"/>
    <w:rsid w:val="00906E96"/>
    <w:rsid w:val="00915A27"/>
    <w:rsid w:val="0092489B"/>
    <w:rsid w:val="0093072E"/>
    <w:rsid w:val="00933FCC"/>
    <w:rsid w:val="00936942"/>
    <w:rsid w:val="00936AC5"/>
    <w:rsid w:val="0093721B"/>
    <w:rsid w:val="00942106"/>
    <w:rsid w:val="00942474"/>
    <w:rsid w:val="009429B7"/>
    <w:rsid w:val="00943145"/>
    <w:rsid w:val="00944DFF"/>
    <w:rsid w:val="009469CB"/>
    <w:rsid w:val="00947F1D"/>
    <w:rsid w:val="00950503"/>
    <w:rsid w:val="00951087"/>
    <w:rsid w:val="00953D7F"/>
    <w:rsid w:val="009612F3"/>
    <w:rsid w:val="00966C8F"/>
    <w:rsid w:val="009728B3"/>
    <w:rsid w:val="009728E9"/>
    <w:rsid w:val="00980267"/>
    <w:rsid w:val="009812C0"/>
    <w:rsid w:val="00990770"/>
    <w:rsid w:val="00991558"/>
    <w:rsid w:val="00992CDD"/>
    <w:rsid w:val="00993C65"/>
    <w:rsid w:val="00997AA4"/>
    <w:rsid w:val="009A0918"/>
    <w:rsid w:val="009A32A7"/>
    <w:rsid w:val="009A3B1D"/>
    <w:rsid w:val="009A4E27"/>
    <w:rsid w:val="009A5D86"/>
    <w:rsid w:val="009A64F0"/>
    <w:rsid w:val="009B4AFE"/>
    <w:rsid w:val="009B7072"/>
    <w:rsid w:val="009C0E0E"/>
    <w:rsid w:val="009C1433"/>
    <w:rsid w:val="009C3C31"/>
    <w:rsid w:val="009C6E05"/>
    <w:rsid w:val="009C7804"/>
    <w:rsid w:val="009D364B"/>
    <w:rsid w:val="009D3771"/>
    <w:rsid w:val="009D5B87"/>
    <w:rsid w:val="009E3A4C"/>
    <w:rsid w:val="009E5300"/>
    <w:rsid w:val="009E6012"/>
    <w:rsid w:val="009F1127"/>
    <w:rsid w:val="009F1AD3"/>
    <w:rsid w:val="009F5418"/>
    <w:rsid w:val="009F5BD4"/>
    <w:rsid w:val="00A019BE"/>
    <w:rsid w:val="00A02380"/>
    <w:rsid w:val="00A03497"/>
    <w:rsid w:val="00A038C4"/>
    <w:rsid w:val="00A117A3"/>
    <w:rsid w:val="00A17200"/>
    <w:rsid w:val="00A17BED"/>
    <w:rsid w:val="00A25EC0"/>
    <w:rsid w:val="00A27F23"/>
    <w:rsid w:val="00A367F2"/>
    <w:rsid w:val="00A43129"/>
    <w:rsid w:val="00A51AA6"/>
    <w:rsid w:val="00A52EF9"/>
    <w:rsid w:val="00A53194"/>
    <w:rsid w:val="00A54E50"/>
    <w:rsid w:val="00A57FF1"/>
    <w:rsid w:val="00A60098"/>
    <w:rsid w:val="00A6185A"/>
    <w:rsid w:val="00A61910"/>
    <w:rsid w:val="00A63D07"/>
    <w:rsid w:val="00A666FD"/>
    <w:rsid w:val="00A73633"/>
    <w:rsid w:val="00A76341"/>
    <w:rsid w:val="00A76793"/>
    <w:rsid w:val="00A810EC"/>
    <w:rsid w:val="00A94688"/>
    <w:rsid w:val="00A954A5"/>
    <w:rsid w:val="00A965FE"/>
    <w:rsid w:val="00A97D59"/>
    <w:rsid w:val="00A97E41"/>
    <w:rsid w:val="00AA061A"/>
    <w:rsid w:val="00AA1A9C"/>
    <w:rsid w:val="00AA2B20"/>
    <w:rsid w:val="00AA39F4"/>
    <w:rsid w:val="00AA50FC"/>
    <w:rsid w:val="00AA5AFD"/>
    <w:rsid w:val="00AA6C4F"/>
    <w:rsid w:val="00AB0B0F"/>
    <w:rsid w:val="00AB64F9"/>
    <w:rsid w:val="00AC269D"/>
    <w:rsid w:val="00AC47C7"/>
    <w:rsid w:val="00AC64F5"/>
    <w:rsid w:val="00AC7298"/>
    <w:rsid w:val="00AC7F50"/>
    <w:rsid w:val="00AD10BA"/>
    <w:rsid w:val="00AD11FF"/>
    <w:rsid w:val="00AD7571"/>
    <w:rsid w:val="00AE6913"/>
    <w:rsid w:val="00AE6A8D"/>
    <w:rsid w:val="00AE79A1"/>
    <w:rsid w:val="00AF346F"/>
    <w:rsid w:val="00AF3742"/>
    <w:rsid w:val="00AF4353"/>
    <w:rsid w:val="00AF5C2E"/>
    <w:rsid w:val="00AF5F29"/>
    <w:rsid w:val="00AF7584"/>
    <w:rsid w:val="00B00696"/>
    <w:rsid w:val="00B00BB7"/>
    <w:rsid w:val="00B05BED"/>
    <w:rsid w:val="00B06909"/>
    <w:rsid w:val="00B06B31"/>
    <w:rsid w:val="00B06E2B"/>
    <w:rsid w:val="00B11CB8"/>
    <w:rsid w:val="00B14E8D"/>
    <w:rsid w:val="00B20989"/>
    <w:rsid w:val="00B20D6D"/>
    <w:rsid w:val="00B23995"/>
    <w:rsid w:val="00B24BF2"/>
    <w:rsid w:val="00B2618F"/>
    <w:rsid w:val="00B2631F"/>
    <w:rsid w:val="00B26462"/>
    <w:rsid w:val="00B26555"/>
    <w:rsid w:val="00B2799D"/>
    <w:rsid w:val="00B27C60"/>
    <w:rsid w:val="00B3280A"/>
    <w:rsid w:val="00B4069D"/>
    <w:rsid w:val="00B42AF5"/>
    <w:rsid w:val="00B47A7A"/>
    <w:rsid w:val="00B550B7"/>
    <w:rsid w:val="00B6163A"/>
    <w:rsid w:val="00B6232B"/>
    <w:rsid w:val="00B6346D"/>
    <w:rsid w:val="00B66B91"/>
    <w:rsid w:val="00B70482"/>
    <w:rsid w:val="00B7063A"/>
    <w:rsid w:val="00B708DD"/>
    <w:rsid w:val="00B70F43"/>
    <w:rsid w:val="00B759F5"/>
    <w:rsid w:val="00B75B01"/>
    <w:rsid w:val="00B76CC1"/>
    <w:rsid w:val="00B84B17"/>
    <w:rsid w:val="00B850AD"/>
    <w:rsid w:val="00B8761F"/>
    <w:rsid w:val="00B923B1"/>
    <w:rsid w:val="00B975F7"/>
    <w:rsid w:val="00B97A28"/>
    <w:rsid w:val="00BA5EF8"/>
    <w:rsid w:val="00BA654C"/>
    <w:rsid w:val="00BB518C"/>
    <w:rsid w:val="00BB7CAD"/>
    <w:rsid w:val="00BC01F1"/>
    <w:rsid w:val="00BC0425"/>
    <w:rsid w:val="00BC3580"/>
    <w:rsid w:val="00BC3C54"/>
    <w:rsid w:val="00BC505B"/>
    <w:rsid w:val="00BD0274"/>
    <w:rsid w:val="00BD63CF"/>
    <w:rsid w:val="00BD6F91"/>
    <w:rsid w:val="00BE09AA"/>
    <w:rsid w:val="00BE60FC"/>
    <w:rsid w:val="00BF2574"/>
    <w:rsid w:val="00BF5CD1"/>
    <w:rsid w:val="00BF73D3"/>
    <w:rsid w:val="00C01D3B"/>
    <w:rsid w:val="00C02991"/>
    <w:rsid w:val="00C10190"/>
    <w:rsid w:val="00C103E0"/>
    <w:rsid w:val="00C12C17"/>
    <w:rsid w:val="00C147AC"/>
    <w:rsid w:val="00C2279F"/>
    <w:rsid w:val="00C23214"/>
    <w:rsid w:val="00C24772"/>
    <w:rsid w:val="00C249D3"/>
    <w:rsid w:val="00C257AA"/>
    <w:rsid w:val="00C30800"/>
    <w:rsid w:val="00C30DD7"/>
    <w:rsid w:val="00C31CFE"/>
    <w:rsid w:val="00C32240"/>
    <w:rsid w:val="00C371E5"/>
    <w:rsid w:val="00C37443"/>
    <w:rsid w:val="00C4161E"/>
    <w:rsid w:val="00C43569"/>
    <w:rsid w:val="00C43E35"/>
    <w:rsid w:val="00C45C75"/>
    <w:rsid w:val="00C5021C"/>
    <w:rsid w:val="00C52E65"/>
    <w:rsid w:val="00C53437"/>
    <w:rsid w:val="00C63777"/>
    <w:rsid w:val="00C63BD1"/>
    <w:rsid w:val="00C654FA"/>
    <w:rsid w:val="00C70A20"/>
    <w:rsid w:val="00C73EB6"/>
    <w:rsid w:val="00C74541"/>
    <w:rsid w:val="00C81CC7"/>
    <w:rsid w:val="00C8218B"/>
    <w:rsid w:val="00C8680D"/>
    <w:rsid w:val="00C87540"/>
    <w:rsid w:val="00C95FFA"/>
    <w:rsid w:val="00CA6B5F"/>
    <w:rsid w:val="00CB247F"/>
    <w:rsid w:val="00CB3E52"/>
    <w:rsid w:val="00CB73AB"/>
    <w:rsid w:val="00CC22B9"/>
    <w:rsid w:val="00CC369A"/>
    <w:rsid w:val="00CD1155"/>
    <w:rsid w:val="00CD308C"/>
    <w:rsid w:val="00CD4D5C"/>
    <w:rsid w:val="00CD5068"/>
    <w:rsid w:val="00CD5465"/>
    <w:rsid w:val="00CE175F"/>
    <w:rsid w:val="00CF0C11"/>
    <w:rsid w:val="00CF24B9"/>
    <w:rsid w:val="00CF255E"/>
    <w:rsid w:val="00CF2BAE"/>
    <w:rsid w:val="00D00B70"/>
    <w:rsid w:val="00D039C5"/>
    <w:rsid w:val="00D0531A"/>
    <w:rsid w:val="00D05756"/>
    <w:rsid w:val="00D05C8E"/>
    <w:rsid w:val="00D07121"/>
    <w:rsid w:val="00D1392B"/>
    <w:rsid w:val="00D15FFA"/>
    <w:rsid w:val="00D2192E"/>
    <w:rsid w:val="00D21A17"/>
    <w:rsid w:val="00D22213"/>
    <w:rsid w:val="00D2490C"/>
    <w:rsid w:val="00D30753"/>
    <w:rsid w:val="00D30D76"/>
    <w:rsid w:val="00D31671"/>
    <w:rsid w:val="00D33C08"/>
    <w:rsid w:val="00D35E6E"/>
    <w:rsid w:val="00D462C7"/>
    <w:rsid w:val="00D57DB7"/>
    <w:rsid w:val="00D60746"/>
    <w:rsid w:val="00D618E3"/>
    <w:rsid w:val="00D65D3D"/>
    <w:rsid w:val="00D673B6"/>
    <w:rsid w:val="00D67F2E"/>
    <w:rsid w:val="00D76E5B"/>
    <w:rsid w:val="00D82D43"/>
    <w:rsid w:val="00D846AB"/>
    <w:rsid w:val="00D92558"/>
    <w:rsid w:val="00D9268C"/>
    <w:rsid w:val="00D92D5B"/>
    <w:rsid w:val="00DA2D95"/>
    <w:rsid w:val="00DA66DF"/>
    <w:rsid w:val="00DA7DC0"/>
    <w:rsid w:val="00DB0D29"/>
    <w:rsid w:val="00DB30E0"/>
    <w:rsid w:val="00DB66EF"/>
    <w:rsid w:val="00DB7143"/>
    <w:rsid w:val="00DC1F45"/>
    <w:rsid w:val="00DC4EAC"/>
    <w:rsid w:val="00DD130E"/>
    <w:rsid w:val="00DD3251"/>
    <w:rsid w:val="00DD6F84"/>
    <w:rsid w:val="00DE07F0"/>
    <w:rsid w:val="00DE3FC2"/>
    <w:rsid w:val="00DE5CF5"/>
    <w:rsid w:val="00DE6A0F"/>
    <w:rsid w:val="00DE6C8C"/>
    <w:rsid w:val="00DE7C47"/>
    <w:rsid w:val="00DF0D57"/>
    <w:rsid w:val="00DF5F24"/>
    <w:rsid w:val="00DF60C8"/>
    <w:rsid w:val="00DF7955"/>
    <w:rsid w:val="00DF7A2B"/>
    <w:rsid w:val="00E0159C"/>
    <w:rsid w:val="00E0554E"/>
    <w:rsid w:val="00E06890"/>
    <w:rsid w:val="00E10E36"/>
    <w:rsid w:val="00E11B33"/>
    <w:rsid w:val="00E14512"/>
    <w:rsid w:val="00E2092F"/>
    <w:rsid w:val="00E2222E"/>
    <w:rsid w:val="00E234ED"/>
    <w:rsid w:val="00E23F41"/>
    <w:rsid w:val="00E2502B"/>
    <w:rsid w:val="00E250D6"/>
    <w:rsid w:val="00E27EE8"/>
    <w:rsid w:val="00E338E0"/>
    <w:rsid w:val="00E347A3"/>
    <w:rsid w:val="00E410FA"/>
    <w:rsid w:val="00E4384E"/>
    <w:rsid w:val="00E50917"/>
    <w:rsid w:val="00E549A2"/>
    <w:rsid w:val="00E56CB5"/>
    <w:rsid w:val="00E61F26"/>
    <w:rsid w:val="00E6753E"/>
    <w:rsid w:val="00E71897"/>
    <w:rsid w:val="00E82789"/>
    <w:rsid w:val="00E82906"/>
    <w:rsid w:val="00E83D49"/>
    <w:rsid w:val="00E8794D"/>
    <w:rsid w:val="00E87B55"/>
    <w:rsid w:val="00E9033C"/>
    <w:rsid w:val="00E9242E"/>
    <w:rsid w:val="00E93105"/>
    <w:rsid w:val="00E96412"/>
    <w:rsid w:val="00EA3718"/>
    <w:rsid w:val="00EA4FB1"/>
    <w:rsid w:val="00EB1A2B"/>
    <w:rsid w:val="00EB516A"/>
    <w:rsid w:val="00EC1341"/>
    <w:rsid w:val="00EC174F"/>
    <w:rsid w:val="00EC2A61"/>
    <w:rsid w:val="00EC416B"/>
    <w:rsid w:val="00ED2FC1"/>
    <w:rsid w:val="00ED314C"/>
    <w:rsid w:val="00ED4305"/>
    <w:rsid w:val="00ED5C92"/>
    <w:rsid w:val="00EE1F10"/>
    <w:rsid w:val="00EE215E"/>
    <w:rsid w:val="00EE4033"/>
    <w:rsid w:val="00EE44F6"/>
    <w:rsid w:val="00EE51CE"/>
    <w:rsid w:val="00EE53E8"/>
    <w:rsid w:val="00EF1684"/>
    <w:rsid w:val="00F03492"/>
    <w:rsid w:val="00F03DF8"/>
    <w:rsid w:val="00F05A02"/>
    <w:rsid w:val="00F07070"/>
    <w:rsid w:val="00F24A18"/>
    <w:rsid w:val="00F27340"/>
    <w:rsid w:val="00F334A5"/>
    <w:rsid w:val="00F339F0"/>
    <w:rsid w:val="00F41A50"/>
    <w:rsid w:val="00F43C98"/>
    <w:rsid w:val="00F45776"/>
    <w:rsid w:val="00F4767D"/>
    <w:rsid w:val="00F505D3"/>
    <w:rsid w:val="00F55161"/>
    <w:rsid w:val="00F555DA"/>
    <w:rsid w:val="00F568D6"/>
    <w:rsid w:val="00F60448"/>
    <w:rsid w:val="00F6047E"/>
    <w:rsid w:val="00F6297D"/>
    <w:rsid w:val="00F64A5F"/>
    <w:rsid w:val="00F65E55"/>
    <w:rsid w:val="00F668C5"/>
    <w:rsid w:val="00F73242"/>
    <w:rsid w:val="00F774E6"/>
    <w:rsid w:val="00F8229B"/>
    <w:rsid w:val="00F82ADB"/>
    <w:rsid w:val="00F83C83"/>
    <w:rsid w:val="00F83D9B"/>
    <w:rsid w:val="00F8753A"/>
    <w:rsid w:val="00F90117"/>
    <w:rsid w:val="00F92EF7"/>
    <w:rsid w:val="00F95FC0"/>
    <w:rsid w:val="00FA2FF3"/>
    <w:rsid w:val="00FA7145"/>
    <w:rsid w:val="00FA7391"/>
    <w:rsid w:val="00FB0074"/>
    <w:rsid w:val="00FB24FC"/>
    <w:rsid w:val="00FB4155"/>
    <w:rsid w:val="00FB51C1"/>
    <w:rsid w:val="00FB7948"/>
    <w:rsid w:val="00FC3484"/>
    <w:rsid w:val="00FC375D"/>
    <w:rsid w:val="00FC444E"/>
    <w:rsid w:val="00FC45E2"/>
    <w:rsid w:val="00FC4C6A"/>
    <w:rsid w:val="00FD22B7"/>
    <w:rsid w:val="00FD4BDF"/>
    <w:rsid w:val="00FE25E3"/>
    <w:rsid w:val="00FE7BA1"/>
    <w:rsid w:val="00FF1403"/>
    <w:rsid w:val="00FF30E6"/>
    <w:rsid w:val="00FF5B4D"/>
    <w:rsid w:val="00FF62C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1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B6817"/>
    <w:rPr>
      <w:color w:val="0000FF" w:themeColor="hyperlink"/>
      <w:u w:val="single"/>
    </w:rPr>
  </w:style>
  <w:style w:type="table" w:styleId="Tabelacomgrade">
    <w:name w:val="Table Grid"/>
    <w:basedOn w:val="Tabelanormal"/>
    <w:uiPriority w:val="59"/>
    <w:rsid w:val="00D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D04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448"/>
    <w:rPr>
      <w:rFonts w:ascii="Tahoma" w:hAnsi="Tahoma" w:cs="Tahoma"/>
      <w:sz w:val="16"/>
      <w:szCs w:val="16"/>
    </w:rPr>
  </w:style>
  <w:style w:type="paragraph" w:styleId="PargrafodaLista">
    <w:name w:val="List Paragraph"/>
    <w:basedOn w:val="Normal"/>
    <w:uiPriority w:val="34"/>
    <w:qFormat/>
    <w:rsid w:val="004F789C"/>
    <w:pPr>
      <w:ind w:left="720"/>
      <w:contextualSpacing/>
    </w:pPr>
  </w:style>
  <w:style w:type="character" w:customStyle="1" w:styleId="apple-converted-space">
    <w:name w:val="apple-converted-space"/>
    <w:basedOn w:val="Fontepargpadro"/>
    <w:rsid w:val="009F1AD3"/>
  </w:style>
  <w:style w:type="paragraph" w:styleId="Cabealho">
    <w:name w:val="header"/>
    <w:basedOn w:val="Normal"/>
    <w:link w:val="CabealhoChar"/>
    <w:uiPriority w:val="99"/>
    <w:semiHidden/>
    <w:unhideWhenUsed/>
    <w:rsid w:val="00BF5C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F5CD1"/>
  </w:style>
  <w:style w:type="paragraph" w:styleId="Rodap">
    <w:name w:val="footer"/>
    <w:basedOn w:val="Normal"/>
    <w:link w:val="RodapChar"/>
    <w:uiPriority w:val="99"/>
    <w:unhideWhenUsed/>
    <w:rsid w:val="00BF5CD1"/>
    <w:pPr>
      <w:tabs>
        <w:tab w:val="center" w:pos="4252"/>
        <w:tab w:val="right" w:pos="8504"/>
      </w:tabs>
      <w:spacing w:after="0" w:line="240" w:lineRule="auto"/>
    </w:pPr>
  </w:style>
  <w:style w:type="character" w:customStyle="1" w:styleId="RodapChar">
    <w:name w:val="Rodapé Char"/>
    <w:basedOn w:val="Fontepargpadro"/>
    <w:link w:val="Rodap"/>
    <w:uiPriority w:val="99"/>
    <w:rsid w:val="00BF5CD1"/>
  </w:style>
  <w:style w:type="character" w:styleId="Refdenotaderodap">
    <w:name w:val="footnote reference"/>
    <w:uiPriority w:val="99"/>
    <w:semiHidden/>
    <w:unhideWhenUsed/>
    <w:rsid w:val="00FA2FF3"/>
    <w:rPr>
      <w:vertAlign w:val="superscript"/>
    </w:rPr>
  </w:style>
  <w:style w:type="paragraph" w:customStyle="1" w:styleId="Tabela1">
    <w:name w:val="Tabela1"/>
    <w:basedOn w:val="Normal"/>
    <w:rsid w:val="00FA2FF3"/>
    <w:pPr>
      <w:spacing w:after="0" w:line="240" w:lineRule="auto"/>
      <w:jc w:val="both"/>
    </w:pPr>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FA2F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A2FF3"/>
    <w:rPr>
      <w:sz w:val="20"/>
      <w:szCs w:val="20"/>
    </w:rPr>
  </w:style>
  <w:style w:type="paragraph" w:styleId="Textodenotadefim">
    <w:name w:val="endnote text"/>
    <w:basedOn w:val="Normal"/>
    <w:link w:val="TextodenotadefimChar"/>
    <w:uiPriority w:val="99"/>
    <w:semiHidden/>
    <w:unhideWhenUsed/>
    <w:rsid w:val="00D21A1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21A17"/>
    <w:rPr>
      <w:sz w:val="20"/>
      <w:szCs w:val="20"/>
    </w:rPr>
  </w:style>
  <w:style w:type="character" w:styleId="Refdenotadefim">
    <w:name w:val="endnote reference"/>
    <w:basedOn w:val="Fontepargpadro"/>
    <w:uiPriority w:val="99"/>
    <w:semiHidden/>
    <w:unhideWhenUsed/>
    <w:rsid w:val="00D21A17"/>
    <w:rPr>
      <w:vertAlign w:val="superscript"/>
    </w:rPr>
  </w:style>
  <w:style w:type="character" w:customStyle="1" w:styleId="null">
    <w:name w:val="null"/>
    <w:basedOn w:val="Fontepargpadro"/>
    <w:rsid w:val="00741466"/>
  </w:style>
  <w:style w:type="character" w:customStyle="1" w:styleId="fontstyle01">
    <w:name w:val="fontstyle01"/>
    <w:basedOn w:val="Fontepargpadro"/>
    <w:rsid w:val="004E67EA"/>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1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B6817"/>
    <w:rPr>
      <w:color w:val="0000FF" w:themeColor="hyperlink"/>
      <w:u w:val="single"/>
    </w:rPr>
  </w:style>
  <w:style w:type="table" w:styleId="Tabelacomgrade">
    <w:name w:val="Table Grid"/>
    <w:basedOn w:val="Tabelanormal"/>
    <w:uiPriority w:val="59"/>
    <w:rsid w:val="00D30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1D044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448"/>
    <w:rPr>
      <w:rFonts w:ascii="Tahoma" w:hAnsi="Tahoma" w:cs="Tahoma"/>
      <w:sz w:val="16"/>
      <w:szCs w:val="16"/>
    </w:rPr>
  </w:style>
  <w:style w:type="paragraph" w:styleId="PargrafodaLista">
    <w:name w:val="List Paragraph"/>
    <w:basedOn w:val="Normal"/>
    <w:uiPriority w:val="34"/>
    <w:qFormat/>
    <w:rsid w:val="004F789C"/>
    <w:pPr>
      <w:ind w:left="720"/>
      <w:contextualSpacing/>
    </w:pPr>
  </w:style>
  <w:style w:type="character" w:customStyle="1" w:styleId="apple-converted-space">
    <w:name w:val="apple-converted-space"/>
    <w:basedOn w:val="Fontepargpadro"/>
    <w:rsid w:val="009F1AD3"/>
  </w:style>
  <w:style w:type="paragraph" w:styleId="Cabealho">
    <w:name w:val="header"/>
    <w:basedOn w:val="Normal"/>
    <w:link w:val="CabealhoChar"/>
    <w:uiPriority w:val="99"/>
    <w:semiHidden/>
    <w:unhideWhenUsed/>
    <w:rsid w:val="00BF5C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F5CD1"/>
  </w:style>
  <w:style w:type="paragraph" w:styleId="Rodap">
    <w:name w:val="footer"/>
    <w:basedOn w:val="Normal"/>
    <w:link w:val="RodapChar"/>
    <w:uiPriority w:val="99"/>
    <w:unhideWhenUsed/>
    <w:rsid w:val="00BF5CD1"/>
    <w:pPr>
      <w:tabs>
        <w:tab w:val="center" w:pos="4252"/>
        <w:tab w:val="right" w:pos="8504"/>
      </w:tabs>
      <w:spacing w:after="0" w:line="240" w:lineRule="auto"/>
    </w:pPr>
  </w:style>
  <w:style w:type="character" w:customStyle="1" w:styleId="RodapChar">
    <w:name w:val="Rodapé Char"/>
    <w:basedOn w:val="Fontepargpadro"/>
    <w:link w:val="Rodap"/>
    <w:uiPriority w:val="99"/>
    <w:rsid w:val="00BF5CD1"/>
  </w:style>
  <w:style w:type="character" w:styleId="Refdenotaderodap">
    <w:name w:val="footnote reference"/>
    <w:uiPriority w:val="99"/>
    <w:semiHidden/>
    <w:unhideWhenUsed/>
    <w:rsid w:val="00FA2FF3"/>
    <w:rPr>
      <w:vertAlign w:val="superscript"/>
    </w:rPr>
  </w:style>
  <w:style w:type="paragraph" w:customStyle="1" w:styleId="Tabela1">
    <w:name w:val="Tabela1"/>
    <w:basedOn w:val="Normal"/>
    <w:rsid w:val="00FA2FF3"/>
    <w:pPr>
      <w:spacing w:after="0" w:line="240" w:lineRule="auto"/>
      <w:jc w:val="both"/>
    </w:pPr>
    <w:rPr>
      <w:rFonts w:ascii="Times New Roman" w:eastAsia="Times New Roman" w:hAnsi="Times New Roman" w:cs="Times New Roman"/>
      <w:b/>
      <w:sz w:val="24"/>
      <w:szCs w:val="24"/>
      <w:lang w:eastAsia="pt-BR"/>
    </w:rPr>
  </w:style>
  <w:style w:type="paragraph" w:styleId="Textodenotaderodap">
    <w:name w:val="footnote text"/>
    <w:basedOn w:val="Normal"/>
    <w:link w:val="TextodenotaderodapChar"/>
    <w:uiPriority w:val="99"/>
    <w:semiHidden/>
    <w:unhideWhenUsed/>
    <w:rsid w:val="00FA2FF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A2FF3"/>
    <w:rPr>
      <w:sz w:val="20"/>
      <w:szCs w:val="20"/>
    </w:rPr>
  </w:style>
  <w:style w:type="paragraph" w:styleId="Textodenotadefim">
    <w:name w:val="endnote text"/>
    <w:basedOn w:val="Normal"/>
    <w:link w:val="TextodenotadefimChar"/>
    <w:uiPriority w:val="99"/>
    <w:semiHidden/>
    <w:unhideWhenUsed/>
    <w:rsid w:val="00D21A17"/>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21A17"/>
    <w:rPr>
      <w:sz w:val="20"/>
      <w:szCs w:val="20"/>
    </w:rPr>
  </w:style>
  <w:style w:type="character" w:styleId="Refdenotadefim">
    <w:name w:val="endnote reference"/>
    <w:basedOn w:val="Fontepargpadro"/>
    <w:uiPriority w:val="99"/>
    <w:semiHidden/>
    <w:unhideWhenUsed/>
    <w:rsid w:val="00D21A17"/>
    <w:rPr>
      <w:vertAlign w:val="superscript"/>
    </w:rPr>
  </w:style>
  <w:style w:type="character" w:customStyle="1" w:styleId="null">
    <w:name w:val="null"/>
    <w:basedOn w:val="Fontepargpadro"/>
    <w:rsid w:val="00741466"/>
  </w:style>
  <w:style w:type="character" w:customStyle="1" w:styleId="fontstyle01">
    <w:name w:val="fontstyle01"/>
    <w:basedOn w:val="Fontepargpadro"/>
    <w:rsid w:val="004E67EA"/>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373">
      <w:bodyDiv w:val="1"/>
      <w:marLeft w:val="0"/>
      <w:marRight w:val="0"/>
      <w:marTop w:val="0"/>
      <w:marBottom w:val="0"/>
      <w:divBdr>
        <w:top w:val="none" w:sz="0" w:space="0" w:color="auto"/>
        <w:left w:val="none" w:sz="0" w:space="0" w:color="auto"/>
        <w:bottom w:val="none" w:sz="0" w:space="0" w:color="auto"/>
        <w:right w:val="none" w:sz="0" w:space="0" w:color="auto"/>
      </w:divBdr>
    </w:div>
    <w:div w:id="112290879">
      <w:bodyDiv w:val="1"/>
      <w:marLeft w:val="0"/>
      <w:marRight w:val="0"/>
      <w:marTop w:val="0"/>
      <w:marBottom w:val="0"/>
      <w:divBdr>
        <w:top w:val="none" w:sz="0" w:space="0" w:color="auto"/>
        <w:left w:val="none" w:sz="0" w:space="0" w:color="auto"/>
        <w:bottom w:val="none" w:sz="0" w:space="0" w:color="auto"/>
        <w:right w:val="none" w:sz="0" w:space="0" w:color="auto"/>
      </w:divBdr>
    </w:div>
    <w:div w:id="127822028">
      <w:bodyDiv w:val="1"/>
      <w:marLeft w:val="0"/>
      <w:marRight w:val="0"/>
      <w:marTop w:val="0"/>
      <w:marBottom w:val="0"/>
      <w:divBdr>
        <w:top w:val="none" w:sz="0" w:space="0" w:color="auto"/>
        <w:left w:val="none" w:sz="0" w:space="0" w:color="auto"/>
        <w:bottom w:val="none" w:sz="0" w:space="0" w:color="auto"/>
        <w:right w:val="none" w:sz="0" w:space="0" w:color="auto"/>
      </w:divBdr>
    </w:div>
    <w:div w:id="172647356">
      <w:bodyDiv w:val="1"/>
      <w:marLeft w:val="0"/>
      <w:marRight w:val="0"/>
      <w:marTop w:val="0"/>
      <w:marBottom w:val="0"/>
      <w:divBdr>
        <w:top w:val="none" w:sz="0" w:space="0" w:color="auto"/>
        <w:left w:val="none" w:sz="0" w:space="0" w:color="auto"/>
        <w:bottom w:val="none" w:sz="0" w:space="0" w:color="auto"/>
        <w:right w:val="none" w:sz="0" w:space="0" w:color="auto"/>
      </w:divBdr>
    </w:div>
    <w:div w:id="205139829">
      <w:bodyDiv w:val="1"/>
      <w:marLeft w:val="0"/>
      <w:marRight w:val="0"/>
      <w:marTop w:val="0"/>
      <w:marBottom w:val="0"/>
      <w:divBdr>
        <w:top w:val="none" w:sz="0" w:space="0" w:color="auto"/>
        <w:left w:val="none" w:sz="0" w:space="0" w:color="auto"/>
        <w:bottom w:val="none" w:sz="0" w:space="0" w:color="auto"/>
        <w:right w:val="none" w:sz="0" w:space="0" w:color="auto"/>
      </w:divBdr>
    </w:div>
    <w:div w:id="249394371">
      <w:bodyDiv w:val="1"/>
      <w:marLeft w:val="0"/>
      <w:marRight w:val="0"/>
      <w:marTop w:val="0"/>
      <w:marBottom w:val="0"/>
      <w:divBdr>
        <w:top w:val="none" w:sz="0" w:space="0" w:color="auto"/>
        <w:left w:val="none" w:sz="0" w:space="0" w:color="auto"/>
        <w:bottom w:val="none" w:sz="0" w:space="0" w:color="auto"/>
        <w:right w:val="none" w:sz="0" w:space="0" w:color="auto"/>
      </w:divBdr>
    </w:div>
    <w:div w:id="437140040">
      <w:bodyDiv w:val="1"/>
      <w:marLeft w:val="0"/>
      <w:marRight w:val="0"/>
      <w:marTop w:val="0"/>
      <w:marBottom w:val="0"/>
      <w:divBdr>
        <w:top w:val="none" w:sz="0" w:space="0" w:color="auto"/>
        <w:left w:val="none" w:sz="0" w:space="0" w:color="auto"/>
        <w:bottom w:val="none" w:sz="0" w:space="0" w:color="auto"/>
        <w:right w:val="none" w:sz="0" w:space="0" w:color="auto"/>
      </w:divBdr>
    </w:div>
    <w:div w:id="803693609">
      <w:bodyDiv w:val="1"/>
      <w:marLeft w:val="0"/>
      <w:marRight w:val="0"/>
      <w:marTop w:val="0"/>
      <w:marBottom w:val="0"/>
      <w:divBdr>
        <w:top w:val="none" w:sz="0" w:space="0" w:color="auto"/>
        <w:left w:val="none" w:sz="0" w:space="0" w:color="auto"/>
        <w:bottom w:val="none" w:sz="0" w:space="0" w:color="auto"/>
        <w:right w:val="none" w:sz="0" w:space="0" w:color="auto"/>
      </w:divBdr>
    </w:div>
    <w:div w:id="931821242">
      <w:bodyDiv w:val="1"/>
      <w:marLeft w:val="0"/>
      <w:marRight w:val="0"/>
      <w:marTop w:val="0"/>
      <w:marBottom w:val="0"/>
      <w:divBdr>
        <w:top w:val="none" w:sz="0" w:space="0" w:color="auto"/>
        <w:left w:val="none" w:sz="0" w:space="0" w:color="auto"/>
        <w:bottom w:val="none" w:sz="0" w:space="0" w:color="auto"/>
        <w:right w:val="none" w:sz="0" w:space="0" w:color="auto"/>
      </w:divBdr>
    </w:div>
    <w:div w:id="1139956742">
      <w:bodyDiv w:val="1"/>
      <w:marLeft w:val="0"/>
      <w:marRight w:val="0"/>
      <w:marTop w:val="0"/>
      <w:marBottom w:val="0"/>
      <w:divBdr>
        <w:top w:val="none" w:sz="0" w:space="0" w:color="auto"/>
        <w:left w:val="none" w:sz="0" w:space="0" w:color="auto"/>
        <w:bottom w:val="none" w:sz="0" w:space="0" w:color="auto"/>
        <w:right w:val="none" w:sz="0" w:space="0" w:color="auto"/>
      </w:divBdr>
    </w:div>
    <w:div w:id="1326207029">
      <w:bodyDiv w:val="1"/>
      <w:marLeft w:val="0"/>
      <w:marRight w:val="0"/>
      <w:marTop w:val="0"/>
      <w:marBottom w:val="0"/>
      <w:divBdr>
        <w:top w:val="none" w:sz="0" w:space="0" w:color="auto"/>
        <w:left w:val="none" w:sz="0" w:space="0" w:color="auto"/>
        <w:bottom w:val="none" w:sz="0" w:space="0" w:color="auto"/>
        <w:right w:val="none" w:sz="0" w:space="0" w:color="auto"/>
      </w:divBdr>
    </w:div>
    <w:div w:id="1398820959">
      <w:bodyDiv w:val="1"/>
      <w:marLeft w:val="0"/>
      <w:marRight w:val="0"/>
      <w:marTop w:val="0"/>
      <w:marBottom w:val="0"/>
      <w:divBdr>
        <w:top w:val="none" w:sz="0" w:space="0" w:color="auto"/>
        <w:left w:val="none" w:sz="0" w:space="0" w:color="auto"/>
        <w:bottom w:val="none" w:sz="0" w:space="0" w:color="auto"/>
        <w:right w:val="none" w:sz="0" w:space="0" w:color="auto"/>
      </w:divBdr>
    </w:div>
    <w:div w:id="1837303404">
      <w:bodyDiv w:val="1"/>
      <w:marLeft w:val="0"/>
      <w:marRight w:val="0"/>
      <w:marTop w:val="0"/>
      <w:marBottom w:val="0"/>
      <w:divBdr>
        <w:top w:val="none" w:sz="0" w:space="0" w:color="auto"/>
        <w:left w:val="none" w:sz="0" w:space="0" w:color="auto"/>
        <w:bottom w:val="none" w:sz="0" w:space="0" w:color="auto"/>
        <w:right w:val="none" w:sz="0" w:space="0" w:color="auto"/>
      </w:divBdr>
    </w:div>
    <w:div w:id="1947693689">
      <w:bodyDiv w:val="1"/>
      <w:marLeft w:val="0"/>
      <w:marRight w:val="0"/>
      <w:marTop w:val="0"/>
      <w:marBottom w:val="0"/>
      <w:divBdr>
        <w:top w:val="none" w:sz="0" w:space="0" w:color="auto"/>
        <w:left w:val="none" w:sz="0" w:space="0" w:color="auto"/>
        <w:bottom w:val="none" w:sz="0" w:space="0" w:color="auto"/>
        <w:right w:val="none" w:sz="0" w:space="0" w:color="auto"/>
      </w:divBdr>
    </w:div>
    <w:div w:id="1960405830">
      <w:bodyDiv w:val="1"/>
      <w:marLeft w:val="0"/>
      <w:marRight w:val="0"/>
      <w:marTop w:val="0"/>
      <w:marBottom w:val="0"/>
      <w:divBdr>
        <w:top w:val="none" w:sz="0" w:space="0" w:color="auto"/>
        <w:left w:val="none" w:sz="0" w:space="0" w:color="auto"/>
        <w:bottom w:val="none" w:sz="0" w:space="0" w:color="auto"/>
        <w:right w:val="none" w:sz="0" w:space="0" w:color="auto"/>
      </w:divBdr>
    </w:div>
    <w:div w:id="19883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bnb.gov.br/projwebren/exec/artigoRenPDF.aspx?cd_artigo_ren=119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a_rocha_pe@yahoo.com.br"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mailto:kellydevasconcelos@ig.com.br" TargetMode="External"/><Relationship Id="rId19" Type="http://schemas.openxmlformats.org/officeDocument/2006/relationships/hyperlink" Target="http://www.atlasbrasil.org.br/2013/" TargetMode="External"/><Relationship Id="rId4" Type="http://schemas.microsoft.com/office/2007/relationships/stylesWithEffects" Target="stylesWithEffects.xml"/><Relationship Id="rId9" Type="http://schemas.openxmlformats.org/officeDocument/2006/relationships/hyperlink" Target="mailto:angeloantonio198@gmail.com"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Sertão</c:v>
                </c:pt>
              </c:strCache>
            </c:strRef>
          </c:tx>
          <c:cat>
            <c:numRef>
              <c:f>Plan1!$A$2:$A$8</c:f>
              <c:numCache>
                <c:formatCode>General</c:formatCode>
                <c:ptCount val="7"/>
                <c:pt idx="0">
                  <c:v>2000</c:v>
                </c:pt>
                <c:pt idx="1">
                  <c:v>2002</c:v>
                </c:pt>
                <c:pt idx="2">
                  <c:v>2004</c:v>
                </c:pt>
                <c:pt idx="3">
                  <c:v>2006</c:v>
                </c:pt>
                <c:pt idx="4">
                  <c:v>2008</c:v>
                </c:pt>
                <c:pt idx="5">
                  <c:v>2010</c:v>
                </c:pt>
                <c:pt idx="6">
                  <c:v>2012</c:v>
                </c:pt>
              </c:numCache>
            </c:numRef>
          </c:cat>
          <c:val>
            <c:numRef>
              <c:f>Plan1!$B$2:$B$8</c:f>
              <c:numCache>
                <c:formatCode>General</c:formatCode>
                <c:ptCount val="7"/>
                <c:pt idx="0">
                  <c:v>5.54</c:v>
                </c:pt>
                <c:pt idx="1">
                  <c:v>5.41</c:v>
                </c:pt>
                <c:pt idx="2">
                  <c:v>5.1499999999999995</c:v>
                </c:pt>
                <c:pt idx="3">
                  <c:v>5.53</c:v>
                </c:pt>
                <c:pt idx="4">
                  <c:v>5.64</c:v>
                </c:pt>
                <c:pt idx="5">
                  <c:v>5.68</c:v>
                </c:pt>
                <c:pt idx="6">
                  <c:v>5.76</c:v>
                </c:pt>
              </c:numCache>
            </c:numRef>
          </c:val>
          <c:smooth val="0"/>
        </c:ser>
        <c:ser>
          <c:idx val="1"/>
          <c:order val="1"/>
          <c:tx>
            <c:strRef>
              <c:f>Plan1!$C$1</c:f>
              <c:strCache>
                <c:ptCount val="1"/>
                <c:pt idx="0">
                  <c:v>São Francisco</c:v>
                </c:pt>
              </c:strCache>
            </c:strRef>
          </c:tx>
          <c:cat>
            <c:numRef>
              <c:f>Plan1!$A$2:$A$8</c:f>
              <c:numCache>
                <c:formatCode>General</c:formatCode>
                <c:ptCount val="7"/>
                <c:pt idx="0">
                  <c:v>2000</c:v>
                </c:pt>
                <c:pt idx="1">
                  <c:v>2002</c:v>
                </c:pt>
                <c:pt idx="2">
                  <c:v>2004</c:v>
                </c:pt>
                <c:pt idx="3">
                  <c:v>2006</c:v>
                </c:pt>
                <c:pt idx="4">
                  <c:v>2008</c:v>
                </c:pt>
                <c:pt idx="5">
                  <c:v>2010</c:v>
                </c:pt>
                <c:pt idx="6">
                  <c:v>2012</c:v>
                </c:pt>
              </c:numCache>
            </c:numRef>
          </c:cat>
          <c:val>
            <c:numRef>
              <c:f>Plan1!$C$2:$C$8</c:f>
              <c:numCache>
                <c:formatCode>General</c:formatCode>
                <c:ptCount val="7"/>
                <c:pt idx="0">
                  <c:v>5.26</c:v>
                </c:pt>
                <c:pt idx="1">
                  <c:v>5.55</c:v>
                </c:pt>
                <c:pt idx="2">
                  <c:v>6.37</c:v>
                </c:pt>
                <c:pt idx="3">
                  <c:v>5.6599999999999975</c:v>
                </c:pt>
                <c:pt idx="4">
                  <c:v>6.05</c:v>
                </c:pt>
                <c:pt idx="5">
                  <c:v>5.8</c:v>
                </c:pt>
                <c:pt idx="6">
                  <c:v>5.59</c:v>
                </c:pt>
              </c:numCache>
            </c:numRef>
          </c:val>
          <c:smooth val="0"/>
        </c:ser>
        <c:ser>
          <c:idx val="2"/>
          <c:order val="2"/>
          <c:tx>
            <c:strRef>
              <c:f>Plan1!$D$1</c:f>
              <c:strCache>
                <c:ptCount val="1"/>
                <c:pt idx="0">
                  <c:v>Agreste</c:v>
                </c:pt>
              </c:strCache>
            </c:strRef>
          </c:tx>
          <c:cat>
            <c:numRef>
              <c:f>Plan1!$A$2:$A$8</c:f>
              <c:numCache>
                <c:formatCode>General</c:formatCode>
                <c:ptCount val="7"/>
                <c:pt idx="0">
                  <c:v>2000</c:v>
                </c:pt>
                <c:pt idx="1">
                  <c:v>2002</c:v>
                </c:pt>
                <c:pt idx="2">
                  <c:v>2004</c:v>
                </c:pt>
                <c:pt idx="3">
                  <c:v>2006</c:v>
                </c:pt>
                <c:pt idx="4">
                  <c:v>2008</c:v>
                </c:pt>
                <c:pt idx="5">
                  <c:v>2010</c:v>
                </c:pt>
                <c:pt idx="6">
                  <c:v>2012</c:v>
                </c:pt>
              </c:numCache>
            </c:numRef>
          </c:cat>
          <c:val>
            <c:numRef>
              <c:f>Plan1!$D$2:$D$8</c:f>
              <c:numCache>
                <c:formatCode>General</c:formatCode>
                <c:ptCount val="7"/>
                <c:pt idx="0">
                  <c:v>13.739999999999998</c:v>
                </c:pt>
                <c:pt idx="1">
                  <c:v>13.7</c:v>
                </c:pt>
                <c:pt idx="2">
                  <c:v>13.7</c:v>
                </c:pt>
                <c:pt idx="3">
                  <c:v>14.350000000000016</c:v>
                </c:pt>
                <c:pt idx="4">
                  <c:v>14.42</c:v>
                </c:pt>
                <c:pt idx="5">
                  <c:v>14.56</c:v>
                </c:pt>
                <c:pt idx="6">
                  <c:v>14.66</c:v>
                </c:pt>
              </c:numCache>
            </c:numRef>
          </c:val>
          <c:smooth val="0"/>
        </c:ser>
        <c:ser>
          <c:idx val="3"/>
          <c:order val="3"/>
          <c:tx>
            <c:strRef>
              <c:f>Plan1!$E$1</c:f>
              <c:strCache>
                <c:ptCount val="1"/>
                <c:pt idx="0">
                  <c:v>Zona da Mata</c:v>
                </c:pt>
              </c:strCache>
            </c:strRef>
          </c:tx>
          <c:cat>
            <c:numRef>
              <c:f>Plan1!$A$2:$A$8</c:f>
              <c:numCache>
                <c:formatCode>General</c:formatCode>
                <c:ptCount val="7"/>
                <c:pt idx="0">
                  <c:v>2000</c:v>
                </c:pt>
                <c:pt idx="1">
                  <c:v>2002</c:v>
                </c:pt>
                <c:pt idx="2">
                  <c:v>2004</c:v>
                </c:pt>
                <c:pt idx="3">
                  <c:v>2006</c:v>
                </c:pt>
                <c:pt idx="4">
                  <c:v>2008</c:v>
                </c:pt>
                <c:pt idx="5">
                  <c:v>2010</c:v>
                </c:pt>
                <c:pt idx="6">
                  <c:v>2012</c:v>
                </c:pt>
              </c:numCache>
            </c:numRef>
          </c:cat>
          <c:val>
            <c:numRef>
              <c:f>Plan1!$E$2:$E$8</c:f>
              <c:numCache>
                <c:formatCode>General</c:formatCode>
                <c:ptCount val="7"/>
                <c:pt idx="0">
                  <c:v>9.8800000000000008</c:v>
                </c:pt>
                <c:pt idx="1">
                  <c:v>9.61</c:v>
                </c:pt>
                <c:pt idx="2">
                  <c:v>9.34</c:v>
                </c:pt>
                <c:pt idx="3">
                  <c:v>9.32</c:v>
                </c:pt>
                <c:pt idx="4">
                  <c:v>8.91</c:v>
                </c:pt>
                <c:pt idx="5">
                  <c:v>9.56</c:v>
                </c:pt>
                <c:pt idx="6">
                  <c:v>9.2900000000000009</c:v>
                </c:pt>
              </c:numCache>
            </c:numRef>
          </c:val>
          <c:smooth val="0"/>
        </c:ser>
        <c:ser>
          <c:idx val="4"/>
          <c:order val="4"/>
          <c:tx>
            <c:strRef>
              <c:f>Plan1!$F$1</c:f>
              <c:strCache>
                <c:ptCount val="1"/>
                <c:pt idx="0">
                  <c:v>Pernambuco</c:v>
                </c:pt>
              </c:strCache>
            </c:strRef>
          </c:tx>
          <c:cat>
            <c:numRef>
              <c:f>Plan1!$A$2:$A$8</c:f>
              <c:numCache>
                <c:formatCode>General</c:formatCode>
                <c:ptCount val="7"/>
                <c:pt idx="0">
                  <c:v>2000</c:v>
                </c:pt>
                <c:pt idx="1">
                  <c:v>2002</c:v>
                </c:pt>
                <c:pt idx="2">
                  <c:v>2004</c:v>
                </c:pt>
                <c:pt idx="3">
                  <c:v>2006</c:v>
                </c:pt>
                <c:pt idx="4">
                  <c:v>2008</c:v>
                </c:pt>
                <c:pt idx="5">
                  <c:v>2010</c:v>
                </c:pt>
                <c:pt idx="6">
                  <c:v>2012</c:v>
                </c:pt>
              </c:numCache>
            </c:numRef>
          </c:cat>
          <c:val>
            <c:numRef>
              <c:f>Plan1!$F$2:$F$8</c:f>
              <c:numCache>
                <c:formatCode>General</c:formatCode>
                <c:ptCount val="7"/>
                <c:pt idx="0">
                  <c:v>18.36</c:v>
                </c:pt>
                <c:pt idx="1">
                  <c:v>18.399999999999999</c:v>
                </c:pt>
                <c:pt idx="2">
                  <c:v>17.82</c:v>
                </c:pt>
                <c:pt idx="3">
                  <c:v>17.84</c:v>
                </c:pt>
                <c:pt idx="4">
                  <c:v>17.72</c:v>
                </c:pt>
                <c:pt idx="5">
                  <c:v>18.760000000000002</c:v>
                </c:pt>
                <c:pt idx="6">
                  <c:v>19.71</c:v>
                </c:pt>
              </c:numCache>
            </c:numRef>
          </c:val>
          <c:smooth val="0"/>
        </c:ser>
        <c:ser>
          <c:idx val="5"/>
          <c:order val="5"/>
          <c:tx>
            <c:strRef>
              <c:f>Plan1!$G$1</c:f>
              <c:strCache>
                <c:ptCount val="1"/>
                <c:pt idx="0">
                  <c:v>Nordeste</c:v>
                </c:pt>
              </c:strCache>
            </c:strRef>
          </c:tx>
          <c:cat>
            <c:numRef>
              <c:f>Plan1!$A$2:$A$8</c:f>
              <c:numCache>
                <c:formatCode>General</c:formatCode>
                <c:ptCount val="7"/>
                <c:pt idx="0">
                  <c:v>2000</c:v>
                </c:pt>
                <c:pt idx="1">
                  <c:v>2002</c:v>
                </c:pt>
                <c:pt idx="2">
                  <c:v>2004</c:v>
                </c:pt>
                <c:pt idx="3">
                  <c:v>2006</c:v>
                </c:pt>
                <c:pt idx="4">
                  <c:v>2008</c:v>
                </c:pt>
                <c:pt idx="5">
                  <c:v>2010</c:v>
                </c:pt>
                <c:pt idx="6">
                  <c:v>2012</c:v>
                </c:pt>
              </c:numCache>
            </c:numRef>
          </c:cat>
          <c:val>
            <c:numRef>
              <c:f>Plan1!$G$2:$G$8</c:f>
              <c:numCache>
                <c:formatCode>General</c:formatCode>
                <c:ptCount val="7"/>
                <c:pt idx="0">
                  <c:v>12.450000000000006</c:v>
                </c:pt>
                <c:pt idx="1">
                  <c:v>12.96</c:v>
                </c:pt>
                <c:pt idx="2">
                  <c:v>12.719999999999999</c:v>
                </c:pt>
                <c:pt idx="3">
                  <c:v>13.129999999999999</c:v>
                </c:pt>
                <c:pt idx="4">
                  <c:v>13.11</c:v>
                </c:pt>
                <c:pt idx="5">
                  <c:v>13.46</c:v>
                </c:pt>
                <c:pt idx="6">
                  <c:v>13.56</c:v>
                </c:pt>
              </c:numCache>
            </c:numRef>
          </c:val>
          <c:smooth val="0"/>
        </c:ser>
        <c:dLbls>
          <c:showLegendKey val="0"/>
          <c:showVal val="0"/>
          <c:showCatName val="0"/>
          <c:showSerName val="0"/>
          <c:showPercent val="0"/>
          <c:showBubbleSize val="0"/>
        </c:dLbls>
        <c:marker val="1"/>
        <c:smooth val="0"/>
        <c:axId val="38039936"/>
        <c:axId val="38041472"/>
      </c:lineChart>
      <c:catAx>
        <c:axId val="3803993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8041472"/>
        <c:crosses val="autoZero"/>
        <c:auto val="1"/>
        <c:lblAlgn val="ctr"/>
        <c:lblOffset val="100"/>
        <c:noMultiLvlLbl val="0"/>
      </c:catAx>
      <c:valAx>
        <c:axId val="3804147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8039936"/>
        <c:crosses val="autoZero"/>
        <c:crossBetween val="between"/>
      </c:valAx>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solidFill>
        <a:schemeClr val="bg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Rural</c:v>
                </c:pt>
              </c:strCache>
            </c:strRef>
          </c:tx>
          <c:cat>
            <c:strRef>
              <c:f>Plan1!$A$2:$A$8</c:f>
              <c:strCache>
                <c:ptCount val="7"/>
                <c:pt idx="0">
                  <c:v>Brasil</c:v>
                </c:pt>
                <c:pt idx="1">
                  <c:v>Pernambuco</c:v>
                </c:pt>
                <c:pt idx="2">
                  <c:v>Agreste</c:v>
                </c:pt>
                <c:pt idx="3">
                  <c:v>Mata </c:v>
                </c:pt>
                <c:pt idx="4">
                  <c:v>Metropolitana </c:v>
                </c:pt>
                <c:pt idx="5">
                  <c:v>São Francisco </c:v>
                </c:pt>
                <c:pt idx="6">
                  <c:v>Sertão </c:v>
                </c:pt>
              </c:strCache>
            </c:strRef>
          </c:cat>
          <c:val>
            <c:numRef>
              <c:f>Plan1!$B$2:$B$8</c:f>
              <c:numCache>
                <c:formatCode>0.00</c:formatCode>
                <c:ptCount val="7"/>
                <c:pt idx="0">
                  <c:v>0.15650000000000044</c:v>
                </c:pt>
                <c:pt idx="1">
                  <c:v>0.2</c:v>
                </c:pt>
                <c:pt idx="2" formatCode="General">
                  <c:v>0.31000000000000238</c:v>
                </c:pt>
                <c:pt idx="3" formatCode="General">
                  <c:v>0.25</c:v>
                </c:pt>
                <c:pt idx="4" formatCode="General">
                  <c:v>3.0000000000000002E-2</c:v>
                </c:pt>
                <c:pt idx="5" formatCode="General">
                  <c:v>0.37000000000000038</c:v>
                </c:pt>
                <c:pt idx="6" formatCode="General">
                  <c:v>0.41000000000000031</c:v>
                </c:pt>
              </c:numCache>
            </c:numRef>
          </c:val>
          <c:smooth val="0"/>
        </c:ser>
        <c:ser>
          <c:idx val="1"/>
          <c:order val="1"/>
          <c:tx>
            <c:strRef>
              <c:f>Plan1!$C$1</c:f>
              <c:strCache>
                <c:ptCount val="1"/>
                <c:pt idx="0">
                  <c:v>Urbano</c:v>
                </c:pt>
              </c:strCache>
            </c:strRef>
          </c:tx>
          <c:cat>
            <c:strRef>
              <c:f>Plan1!$A$2:$A$8</c:f>
              <c:strCache>
                <c:ptCount val="7"/>
                <c:pt idx="0">
                  <c:v>Brasil</c:v>
                </c:pt>
                <c:pt idx="1">
                  <c:v>Pernambuco</c:v>
                </c:pt>
                <c:pt idx="2">
                  <c:v>Agreste</c:v>
                </c:pt>
                <c:pt idx="3">
                  <c:v>Mata </c:v>
                </c:pt>
                <c:pt idx="4">
                  <c:v>Metropolitana </c:v>
                </c:pt>
                <c:pt idx="5">
                  <c:v>São Francisco </c:v>
                </c:pt>
                <c:pt idx="6">
                  <c:v>Sertão </c:v>
                </c:pt>
              </c:strCache>
            </c:strRef>
          </c:cat>
          <c:val>
            <c:numRef>
              <c:f>Plan1!$C$2:$C$8</c:f>
              <c:numCache>
                <c:formatCode>0.00</c:formatCode>
                <c:ptCount val="7"/>
                <c:pt idx="0">
                  <c:v>0.84350000000000003</c:v>
                </c:pt>
                <c:pt idx="1">
                  <c:v>0.8</c:v>
                </c:pt>
                <c:pt idx="2" formatCode="General">
                  <c:v>0.69000000000000061</c:v>
                </c:pt>
                <c:pt idx="3" formatCode="General">
                  <c:v>0.75000000000000555</c:v>
                </c:pt>
                <c:pt idx="4" formatCode="General">
                  <c:v>0.97000000000000064</c:v>
                </c:pt>
                <c:pt idx="5" formatCode="General">
                  <c:v>0.63000000000000611</c:v>
                </c:pt>
                <c:pt idx="6" formatCode="General">
                  <c:v>0.59</c:v>
                </c:pt>
              </c:numCache>
            </c:numRef>
          </c:val>
          <c:smooth val="0"/>
        </c:ser>
        <c:dLbls>
          <c:showLegendKey val="0"/>
          <c:showVal val="0"/>
          <c:showCatName val="0"/>
          <c:showSerName val="0"/>
          <c:showPercent val="0"/>
          <c:showBubbleSize val="0"/>
        </c:dLbls>
        <c:marker val="1"/>
        <c:smooth val="0"/>
        <c:axId val="38506496"/>
        <c:axId val="38508032"/>
      </c:lineChart>
      <c:catAx>
        <c:axId val="3850649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pt-BR"/>
          </a:p>
        </c:txPr>
        <c:crossAx val="38508032"/>
        <c:crosses val="autoZero"/>
        <c:auto val="1"/>
        <c:lblAlgn val="ctr"/>
        <c:lblOffset val="100"/>
        <c:noMultiLvlLbl val="0"/>
      </c:catAx>
      <c:valAx>
        <c:axId val="38508032"/>
        <c:scaling>
          <c:orientation val="minMax"/>
        </c:scaling>
        <c:delete val="0"/>
        <c:axPos val="l"/>
        <c:numFmt formatCode="0.00"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8506496"/>
        <c:crosses val="autoZero"/>
        <c:crossBetween val="between"/>
      </c:valAx>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solidFill>
        <a:schemeClr val="bg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Rural</c:v>
                </c:pt>
              </c:strCache>
            </c:strRef>
          </c:tx>
          <c:cat>
            <c:strRef>
              <c:f>Plan1!$A$2:$A$8</c:f>
              <c:strCache>
                <c:ptCount val="7"/>
                <c:pt idx="0">
                  <c:v>Brasil</c:v>
                </c:pt>
                <c:pt idx="1">
                  <c:v>Pernambuco</c:v>
                </c:pt>
                <c:pt idx="2">
                  <c:v>Agreste</c:v>
                </c:pt>
                <c:pt idx="3">
                  <c:v>Mata </c:v>
                </c:pt>
                <c:pt idx="4">
                  <c:v>Metropolitana </c:v>
                </c:pt>
                <c:pt idx="5">
                  <c:v>São Francisco </c:v>
                </c:pt>
                <c:pt idx="6">
                  <c:v>Sertão </c:v>
                </c:pt>
              </c:strCache>
            </c:strRef>
          </c:cat>
          <c:val>
            <c:numRef>
              <c:f>Plan1!$B$2:$B$8</c:f>
              <c:numCache>
                <c:formatCode>General</c:formatCode>
                <c:ptCount val="7"/>
                <c:pt idx="0">
                  <c:v>9.99</c:v>
                </c:pt>
                <c:pt idx="1">
                  <c:v>18.2</c:v>
                </c:pt>
                <c:pt idx="2">
                  <c:v>24.04</c:v>
                </c:pt>
                <c:pt idx="3">
                  <c:v>14.44</c:v>
                </c:pt>
                <c:pt idx="4">
                  <c:v>8.8700000000000028</c:v>
                </c:pt>
                <c:pt idx="5">
                  <c:v>9.7000000000000011</c:v>
                </c:pt>
                <c:pt idx="6">
                  <c:v>18.149999999999999</c:v>
                </c:pt>
              </c:numCache>
            </c:numRef>
          </c:val>
          <c:smooth val="0"/>
        </c:ser>
        <c:ser>
          <c:idx val="1"/>
          <c:order val="1"/>
          <c:tx>
            <c:strRef>
              <c:f>Plan1!$C$1</c:f>
              <c:strCache>
                <c:ptCount val="1"/>
                <c:pt idx="0">
                  <c:v>Urbano</c:v>
                </c:pt>
              </c:strCache>
            </c:strRef>
          </c:tx>
          <c:cat>
            <c:strRef>
              <c:f>Plan1!$A$2:$A$8</c:f>
              <c:strCache>
                <c:ptCount val="7"/>
                <c:pt idx="0">
                  <c:v>Brasil</c:v>
                </c:pt>
                <c:pt idx="1">
                  <c:v>Pernambuco</c:v>
                </c:pt>
                <c:pt idx="2">
                  <c:v>Agreste</c:v>
                </c:pt>
                <c:pt idx="3">
                  <c:v>Mata </c:v>
                </c:pt>
                <c:pt idx="4">
                  <c:v>Metropolitana </c:v>
                </c:pt>
                <c:pt idx="5">
                  <c:v>São Francisco </c:v>
                </c:pt>
                <c:pt idx="6">
                  <c:v>Sertão </c:v>
                </c:pt>
              </c:strCache>
            </c:strRef>
          </c:cat>
          <c:val>
            <c:numRef>
              <c:f>Plan1!$C$2:$C$8</c:f>
              <c:numCache>
                <c:formatCode>General</c:formatCode>
                <c:ptCount val="7"/>
                <c:pt idx="0">
                  <c:v>5.4</c:v>
                </c:pt>
                <c:pt idx="1">
                  <c:v>8.9700000000000006</c:v>
                </c:pt>
                <c:pt idx="2">
                  <c:v>14.32</c:v>
                </c:pt>
                <c:pt idx="3">
                  <c:v>14.219999999999999</c:v>
                </c:pt>
                <c:pt idx="4">
                  <c:v>4.79</c:v>
                </c:pt>
                <c:pt idx="5">
                  <c:v>6.33</c:v>
                </c:pt>
                <c:pt idx="6">
                  <c:v>13.47</c:v>
                </c:pt>
              </c:numCache>
            </c:numRef>
          </c:val>
          <c:smooth val="0"/>
        </c:ser>
        <c:dLbls>
          <c:showLegendKey val="0"/>
          <c:showVal val="0"/>
          <c:showCatName val="0"/>
          <c:showSerName val="0"/>
          <c:showPercent val="0"/>
          <c:showBubbleSize val="0"/>
        </c:dLbls>
        <c:marker val="1"/>
        <c:smooth val="0"/>
        <c:axId val="38525184"/>
        <c:axId val="38526976"/>
      </c:lineChart>
      <c:catAx>
        <c:axId val="38525184"/>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pt-BR"/>
          </a:p>
        </c:txPr>
        <c:crossAx val="38526976"/>
        <c:crosses val="autoZero"/>
        <c:auto val="1"/>
        <c:lblAlgn val="ctr"/>
        <c:lblOffset val="100"/>
        <c:noMultiLvlLbl val="0"/>
      </c:catAx>
      <c:valAx>
        <c:axId val="3852697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8525184"/>
        <c:crosses val="autoZero"/>
        <c:crossBetween val="between"/>
      </c:valAx>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solidFill>
        <a:schemeClr val="bg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Rural</c:v>
                </c:pt>
              </c:strCache>
            </c:strRef>
          </c:tx>
          <c:cat>
            <c:strRef>
              <c:f>Plan1!$A$2:$A$8</c:f>
              <c:strCache>
                <c:ptCount val="7"/>
                <c:pt idx="0">
                  <c:v>Brasil</c:v>
                </c:pt>
                <c:pt idx="1">
                  <c:v>Pernambuco</c:v>
                </c:pt>
                <c:pt idx="2">
                  <c:v>Agreste </c:v>
                </c:pt>
                <c:pt idx="3">
                  <c:v>Mata </c:v>
                </c:pt>
                <c:pt idx="4">
                  <c:v>Metropolitana </c:v>
                </c:pt>
                <c:pt idx="5">
                  <c:v>São Francisco </c:v>
                </c:pt>
                <c:pt idx="6">
                  <c:v>Sertão </c:v>
                </c:pt>
              </c:strCache>
            </c:strRef>
          </c:cat>
          <c:val>
            <c:numRef>
              <c:f>Plan1!$B$2:$B$8</c:f>
              <c:numCache>
                <c:formatCode>General</c:formatCode>
                <c:ptCount val="7"/>
                <c:pt idx="0">
                  <c:v>13.18</c:v>
                </c:pt>
                <c:pt idx="1">
                  <c:v>27.01</c:v>
                </c:pt>
                <c:pt idx="2">
                  <c:v>31.5</c:v>
                </c:pt>
                <c:pt idx="3">
                  <c:v>26.150000000000031</c:v>
                </c:pt>
                <c:pt idx="4">
                  <c:v>14.62</c:v>
                </c:pt>
                <c:pt idx="5">
                  <c:v>19.279999999999987</c:v>
                </c:pt>
                <c:pt idx="6">
                  <c:v>27.259999999999987</c:v>
                </c:pt>
              </c:numCache>
            </c:numRef>
          </c:val>
          <c:smooth val="0"/>
        </c:ser>
        <c:ser>
          <c:idx val="1"/>
          <c:order val="1"/>
          <c:tx>
            <c:strRef>
              <c:f>Plan1!$C$1</c:f>
              <c:strCache>
                <c:ptCount val="1"/>
                <c:pt idx="0">
                  <c:v>Urbano</c:v>
                </c:pt>
              </c:strCache>
            </c:strRef>
          </c:tx>
          <c:cat>
            <c:strRef>
              <c:f>Plan1!$A$2:$A$8</c:f>
              <c:strCache>
                <c:ptCount val="7"/>
                <c:pt idx="0">
                  <c:v>Brasil</c:v>
                </c:pt>
                <c:pt idx="1">
                  <c:v>Pernambuco</c:v>
                </c:pt>
                <c:pt idx="2">
                  <c:v>Agreste </c:v>
                </c:pt>
                <c:pt idx="3">
                  <c:v>Mata </c:v>
                </c:pt>
                <c:pt idx="4">
                  <c:v>Metropolitana </c:v>
                </c:pt>
                <c:pt idx="5">
                  <c:v>São Francisco </c:v>
                </c:pt>
                <c:pt idx="6">
                  <c:v>Sertão </c:v>
                </c:pt>
              </c:strCache>
            </c:strRef>
          </c:cat>
          <c:val>
            <c:numRef>
              <c:f>Plan1!$C$2:$C$8</c:f>
              <c:numCache>
                <c:formatCode>General</c:formatCode>
                <c:ptCount val="7"/>
                <c:pt idx="0">
                  <c:v>9.17</c:v>
                </c:pt>
                <c:pt idx="1">
                  <c:v>16.22</c:v>
                </c:pt>
                <c:pt idx="2">
                  <c:v>25.51</c:v>
                </c:pt>
                <c:pt idx="3">
                  <c:v>24.14</c:v>
                </c:pt>
                <c:pt idx="4">
                  <c:v>8.83</c:v>
                </c:pt>
                <c:pt idx="5">
                  <c:v>15.91</c:v>
                </c:pt>
                <c:pt idx="6">
                  <c:v>24.27</c:v>
                </c:pt>
              </c:numCache>
            </c:numRef>
          </c:val>
          <c:smooth val="0"/>
        </c:ser>
        <c:dLbls>
          <c:showLegendKey val="0"/>
          <c:showVal val="0"/>
          <c:showCatName val="0"/>
          <c:showSerName val="0"/>
          <c:showPercent val="0"/>
          <c:showBubbleSize val="0"/>
        </c:dLbls>
        <c:marker val="1"/>
        <c:smooth val="0"/>
        <c:axId val="38429056"/>
        <c:axId val="38430592"/>
      </c:lineChart>
      <c:catAx>
        <c:axId val="3842905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pt-BR"/>
          </a:p>
        </c:txPr>
        <c:crossAx val="38430592"/>
        <c:crosses val="autoZero"/>
        <c:auto val="1"/>
        <c:lblAlgn val="ctr"/>
        <c:lblOffset val="100"/>
        <c:noMultiLvlLbl val="0"/>
      </c:catAx>
      <c:valAx>
        <c:axId val="3843059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8429056"/>
        <c:crosses val="autoZero"/>
        <c:crossBetween val="between"/>
      </c:valAx>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solidFill>
        <a:schemeClr val="bg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Plan1!$B$1</c:f>
              <c:strCache>
                <c:ptCount val="1"/>
                <c:pt idx="0">
                  <c:v>Rural</c:v>
                </c:pt>
              </c:strCache>
            </c:strRef>
          </c:tx>
          <c:cat>
            <c:strRef>
              <c:f>Plan1!$A$2:$A$8</c:f>
              <c:strCache>
                <c:ptCount val="7"/>
                <c:pt idx="0">
                  <c:v>Brasil</c:v>
                </c:pt>
                <c:pt idx="1">
                  <c:v>Pernambuco</c:v>
                </c:pt>
                <c:pt idx="2">
                  <c:v>Agreste </c:v>
                </c:pt>
                <c:pt idx="3">
                  <c:v>Mata </c:v>
                </c:pt>
                <c:pt idx="4">
                  <c:v>Metropolitana </c:v>
                </c:pt>
                <c:pt idx="5">
                  <c:v>São Francisco </c:v>
                </c:pt>
                <c:pt idx="6">
                  <c:v>Sertão </c:v>
                </c:pt>
              </c:strCache>
            </c:strRef>
          </c:cat>
          <c:val>
            <c:numRef>
              <c:f>Plan1!$B$2:$B$8</c:f>
              <c:numCache>
                <c:formatCode>General</c:formatCode>
                <c:ptCount val="7"/>
                <c:pt idx="0">
                  <c:v>10.350000000000026</c:v>
                </c:pt>
                <c:pt idx="1">
                  <c:v>20.079999999999988</c:v>
                </c:pt>
                <c:pt idx="2">
                  <c:v>22.150000000000031</c:v>
                </c:pt>
                <c:pt idx="3">
                  <c:v>14.9</c:v>
                </c:pt>
                <c:pt idx="4">
                  <c:v>8.7100000000000009</c:v>
                </c:pt>
                <c:pt idx="5">
                  <c:v>17.3</c:v>
                </c:pt>
                <c:pt idx="6">
                  <c:v>25.1</c:v>
                </c:pt>
              </c:numCache>
            </c:numRef>
          </c:val>
          <c:smooth val="0"/>
        </c:ser>
        <c:ser>
          <c:idx val="1"/>
          <c:order val="1"/>
          <c:tx>
            <c:strRef>
              <c:f>Plan1!$C$1</c:f>
              <c:strCache>
                <c:ptCount val="1"/>
                <c:pt idx="0">
                  <c:v>Urbano</c:v>
                </c:pt>
              </c:strCache>
            </c:strRef>
          </c:tx>
          <c:cat>
            <c:strRef>
              <c:f>Plan1!$A$2:$A$8</c:f>
              <c:strCache>
                <c:ptCount val="7"/>
                <c:pt idx="0">
                  <c:v>Brasil</c:v>
                </c:pt>
                <c:pt idx="1">
                  <c:v>Pernambuco</c:v>
                </c:pt>
                <c:pt idx="2">
                  <c:v>Agreste </c:v>
                </c:pt>
                <c:pt idx="3">
                  <c:v>Mata </c:v>
                </c:pt>
                <c:pt idx="4">
                  <c:v>Metropolitana </c:v>
                </c:pt>
                <c:pt idx="5">
                  <c:v>São Francisco </c:v>
                </c:pt>
                <c:pt idx="6">
                  <c:v>Sertão </c:v>
                </c:pt>
              </c:strCache>
            </c:strRef>
          </c:cat>
          <c:val>
            <c:numRef>
              <c:f>Plan1!$C$2:$C$8</c:f>
              <c:numCache>
                <c:formatCode>General</c:formatCode>
                <c:ptCount val="7"/>
                <c:pt idx="0">
                  <c:v>5.92</c:v>
                </c:pt>
                <c:pt idx="1">
                  <c:v>10.360000000000024</c:v>
                </c:pt>
                <c:pt idx="2">
                  <c:v>14.7</c:v>
                </c:pt>
                <c:pt idx="3">
                  <c:v>13.62</c:v>
                </c:pt>
                <c:pt idx="4">
                  <c:v>5.81</c:v>
                </c:pt>
                <c:pt idx="5">
                  <c:v>12.34</c:v>
                </c:pt>
                <c:pt idx="6">
                  <c:v>20.25</c:v>
                </c:pt>
              </c:numCache>
            </c:numRef>
          </c:val>
          <c:smooth val="0"/>
        </c:ser>
        <c:dLbls>
          <c:showLegendKey val="0"/>
          <c:showVal val="0"/>
          <c:showCatName val="0"/>
          <c:showSerName val="0"/>
          <c:showPercent val="0"/>
          <c:showBubbleSize val="0"/>
        </c:dLbls>
        <c:marker val="1"/>
        <c:smooth val="0"/>
        <c:axId val="38549760"/>
        <c:axId val="38559744"/>
      </c:lineChart>
      <c:catAx>
        <c:axId val="3854976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pt-BR"/>
          </a:p>
        </c:txPr>
        <c:crossAx val="38559744"/>
        <c:crosses val="autoZero"/>
        <c:auto val="1"/>
        <c:lblAlgn val="ctr"/>
        <c:lblOffset val="100"/>
        <c:noMultiLvlLbl val="0"/>
      </c:catAx>
      <c:valAx>
        <c:axId val="3855974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38549760"/>
        <c:crosses val="autoZero"/>
        <c:crossBetween val="between"/>
      </c:valAx>
    </c:plotArea>
    <c:legend>
      <c:legendPos val="r"/>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solidFill>
        <a:schemeClr val="bg1"/>
      </a:solid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FE5B-EB9F-422F-BAC9-7EE0B011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7699</Words>
  <Characters>41576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depec.fabio</cp:lastModifiedBy>
  <cp:revision>2</cp:revision>
  <dcterms:created xsi:type="dcterms:W3CDTF">2016-09-21T19:47:00Z</dcterms:created>
  <dcterms:modified xsi:type="dcterms:W3CDTF">2016-09-21T19:47:00Z</dcterms:modified>
</cp:coreProperties>
</file>